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6B5" w:rsidRPr="008E526B" w:rsidRDefault="007A36B5" w:rsidP="007A36B5">
      <w:pPr>
        <w:pStyle w:val="Heading1"/>
      </w:pPr>
      <w:r w:rsidRPr="008E526B">
        <w:t>PD-(L</w:t>
      </w:r>
      <w:proofErr w:type="gramStart"/>
      <w:r w:rsidRPr="008E526B">
        <w:t>)1</w:t>
      </w:r>
      <w:proofErr w:type="gramEnd"/>
      <w:r w:rsidRPr="008E526B">
        <w:t xml:space="preserve"> checkpoint inhibitor stakeholder meeting</w:t>
      </w:r>
    </w:p>
    <w:p w:rsidR="007A36B5" w:rsidRDefault="007A36B5" w:rsidP="007A36B5">
      <w:pPr>
        <w:jc w:val="center"/>
      </w:pPr>
      <w:r w:rsidRPr="008E526B">
        <w:t>08 February 2019</w:t>
      </w:r>
    </w:p>
    <w:p w:rsidR="008E526B" w:rsidRPr="008E526B" w:rsidRDefault="008E526B" w:rsidP="007A36B5">
      <w:pPr>
        <w:jc w:val="center"/>
      </w:pPr>
    </w:p>
    <w:p w:rsidR="007A36B5" w:rsidRPr="008E526B" w:rsidRDefault="007A36B5" w:rsidP="007A36B5">
      <w:pPr>
        <w:pStyle w:val="Heading2"/>
      </w:pPr>
      <w:r w:rsidRPr="008E526B">
        <w:t>Attendees</w:t>
      </w:r>
    </w:p>
    <w:p w:rsidR="007A36B5" w:rsidRPr="008E526B" w:rsidRDefault="007A36B5" w:rsidP="007A36B5">
      <w:r w:rsidRPr="008E526B">
        <w:t xml:space="preserve">All invited stakeholders participated, including members of the Pharmaceutical Benefits Advisory Committee (PBAC), representatives of the Lung foundation (LF), </w:t>
      </w:r>
      <w:r w:rsidR="008E526B">
        <w:t xml:space="preserve">the </w:t>
      </w:r>
      <w:r w:rsidRPr="008E526B">
        <w:t xml:space="preserve">Medical Oncology Group of Australia (MOGA), AstraZeneca (AZ), Bristol-Myers Squibb (BMS), Merck Sharpe &amp; </w:t>
      </w:r>
      <w:proofErr w:type="spellStart"/>
      <w:r w:rsidRPr="008E526B">
        <w:t>Dohme</w:t>
      </w:r>
      <w:proofErr w:type="spellEnd"/>
      <w:r w:rsidRPr="008E526B">
        <w:t xml:space="preserve"> (MSD), Roche and the Department of Health. A representative from Medicines Australia (MA) </w:t>
      </w:r>
      <w:r w:rsidR="00203B61" w:rsidRPr="008E526B">
        <w:t>attended</w:t>
      </w:r>
      <w:r w:rsidRPr="008E526B">
        <w:t>, as an industry invitee.</w:t>
      </w:r>
    </w:p>
    <w:p w:rsidR="007A36B5" w:rsidRPr="008E526B" w:rsidRDefault="007A36B5" w:rsidP="007A36B5">
      <w:r w:rsidRPr="008E526B">
        <w:t xml:space="preserve">Non-departmental attendees undertook confidentiality declarations and provided conflict of interest statements. </w:t>
      </w:r>
    </w:p>
    <w:p w:rsidR="007A36B5" w:rsidRPr="008E526B" w:rsidRDefault="007A36B5" w:rsidP="007A36B5">
      <w:pPr>
        <w:pStyle w:val="Heading2"/>
      </w:pPr>
      <w:r w:rsidRPr="008E526B">
        <w:t>Purpose of meeting</w:t>
      </w:r>
    </w:p>
    <w:p w:rsidR="007A36B5" w:rsidRPr="008E526B" w:rsidRDefault="007A36B5" w:rsidP="007A36B5">
      <w:r w:rsidRPr="008E526B">
        <w:t>The PBAC Chair Prof</w:t>
      </w:r>
      <w:r w:rsidR="009A45AF" w:rsidRPr="008E526B">
        <w:t>essor</w:t>
      </w:r>
      <w:r w:rsidRPr="008E526B">
        <w:t xml:space="preserve"> Andrew </w:t>
      </w:r>
      <w:r w:rsidR="002F6AA1" w:rsidRPr="008E526B">
        <w:t>Wilson</w:t>
      </w:r>
      <w:r w:rsidRPr="008E526B">
        <w:t xml:space="preserve"> outlined the goals of the stakeholder meeting as:</w:t>
      </w:r>
    </w:p>
    <w:p w:rsidR="007A36B5" w:rsidRPr="008E526B" w:rsidRDefault="007A36B5" w:rsidP="007A36B5">
      <w:pPr>
        <w:pStyle w:val="ListParagraph"/>
        <w:numPr>
          <w:ilvl w:val="0"/>
          <w:numId w:val="3"/>
        </w:numPr>
      </w:pPr>
      <w:r w:rsidRPr="008E526B">
        <w:t>Establishing interest from stakeholders in pursuing a potential broad non-small cell lung cancer (NSCLC) listing for PD-(L)1 inhibitors;</w:t>
      </w:r>
    </w:p>
    <w:p w:rsidR="007A36B5" w:rsidRPr="008E526B" w:rsidRDefault="007A36B5" w:rsidP="007A36B5">
      <w:pPr>
        <w:pStyle w:val="ListParagraph"/>
        <w:numPr>
          <w:ilvl w:val="0"/>
          <w:numId w:val="3"/>
        </w:numPr>
      </w:pPr>
      <w:r w:rsidRPr="008E526B">
        <w:t>Exploring a potential model for a broad NSCLC listing for PD-(L)1 inhibitors;</w:t>
      </w:r>
    </w:p>
    <w:p w:rsidR="007A36B5" w:rsidRPr="008E526B" w:rsidRDefault="007A36B5" w:rsidP="007A36B5">
      <w:pPr>
        <w:pStyle w:val="ListParagraph"/>
        <w:numPr>
          <w:ilvl w:val="0"/>
          <w:numId w:val="3"/>
        </w:numPr>
      </w:pPr>
      <w:r w:rsidRPr="008E526B">
        <w:t>Discussing stakeholder issues surrounding a potential broad NCSLC listing; and</w:t>
      </w:r>
    </w:p>
    <w:p w:rsidR="007A36B5" w:rsidRPr="008E526B" w:rsidRDefault="007A1104" w:rsidP="007A36B5">
      <w:pPr>
        <w:pStyle w:val="ListParagraph"/>
        <w:numPr>
          <w:ilvl w:val="0"/>
          <w:numId w:val="3"/>
        </w:numPr>
      </w:pPr>
      <w:r w:rsidRPr="008E526B">
        <w:t>Exploring</w:t>
      </w:r>
      <w:r w:rsidR="007A36B5" w:rsidRPr="008E526B">
        <w:t xml:space="preserve"> the potential for this model to be applied in alternate contexts.</w:t>
      </w:r>
    </w:p>
    <w:p w:rsidR="007A36B5" w:rsidRPr="008E526B" w:rsidRDefault="007A36B5" w:rsidP="007A36B5">
      <w:pPr>
        <w:pStyle w:val="ListParagraph"/>
      </w:pPr>
    </w:p>
    <w:p w:rsidR="007A36B5" w:rsidRPr="008E526B" w:rsidRDefault="007A36B5" w:rsidP="007A36B5">
      <w:pPr>
        <w:pStyle w:val="Heading2"/>
      </w:pPr>
      <w:r w:rsidRPr="008E526B">
        <w:t xml:space="preserve">Background </w:t>
      </w:r>
    </w:p>
    <w:p w:rsidR="007A36B5" w:rsidRPr="008E526B" w:rsidRDefault="007A36B5" w:rsidP="007A36B5">
      <w:r w:rsidRPr="008E526B">
        <w:t xml:space="preserve">In late 2017 the Hon. </w:t>
      </w:r>
      <w:r w:rsidR="00AC7125">
        <w:t xml:space="preserve">Greg </w:t>
      </w:r>
      <w:r w:rsidRPr="008E526B">
        <w:t>Hunt</w:t>
      </w:r>
      <w:r w:rsidR="007773AC">
        <w:t xml:space="preserve"> MP</w:t>
      </w:r>
      <w:r w:rsidRPr="008E526B">
        <w:t xml:space="preserve">, Minister for Health, requested the PBAC provide advice on options for listing PD-1 and PD-L1 </w:t>
      </w:r>
      <w:r w:rsidR="008E526B">
        <w:t>(PD-(L</w:t>
      </w:r>
      <w:proofErr w:type="gramStart"/>
      <w:r w:rsidR="008E526B">
        <w:t>)1</w:t>
      </w:r>
      <w:proofErr w:type="gramEnd"/>
      <w:r w:rsidR="008E526B">
        <w:t xml:space="preserve">) </w:t>
      </w:r>
      <w:r w:rsidRPr="008E526B">
        <w:t xml:space="preserve">inhibitors for the treatment of multiple cancer indications on the Pharmaceutical Benefits Scheme (PBS).  Specifically, the </w:t>
      </w:r>
      <w:r w:rsidR="00203B61" w:rsidRPr="008E526B">
        <w:t xml:space="preserve">Minister asked the </w:t>
      </w:r>
      <w:r w:rsidRPr="008E526B">
        <w:t xml:space="preserve">PBAC </w:t>
      </w:r>
      <w:r w:rsidR="00203B61" w:rsidRPr="008E526B">
        <w:t>to provide advice</w:t>
      </w:r>
      <w:r w:rsidRPr="008E526B">
        <w:t xml:space="preserve"> on:</w:t>
      </w:r>
    </w:p>
    <w:p w:rsidR="007A36B5" w:rsidRPr="008E526B" w:rsidRDefault="007A36B5" w:rsidP="007A36B5">
      <w:r w:rsidRPr="008E526B">
        <w:t xml:space="preserve"> 1) The </w:t>
      </w:r>
      <w:r w:rsidR="00203B61" w:rsidRPr="008E526B">
        <w:t>current status</w:t>
      </w:r>
      <w:r w:rsidRPr="008E526B">
        <w:t xml:space="preserve"> of PD-</w:t>
      </w:r>
      <w:r w:rsidR="008E526B">
        <w:t>(L</w:t>
      </w:r>
      <w:proofErr w:type="gramStart"/>
      <w:r w:rsidR="008E526B">
        <w:t>)</w:t>
      </w:r>
      <w:r w:rsidRPr="008E526B">
        <w:t>1</w:t>
      </w:r>
      <w:proofErr w:type="gramEnd"/>
      <w:r w:rsidRPr="008E526B">
        <w:t xml:space="preserve"> inhibitors for the treatment of cancer; </w:t>
      </w:r>
    </w:p>
    <w:p w:rsidR="007A36B5" w:rsidRPr="008E526B" w:rsidRDefault="007A36B5" w:rsidP="007A36B5">
      <w:r w:rsidRPr="008E526B">
        <w:t xml:space="preserve">2) </w:t>
      </w:r>
      <w:r w:rsidR="00203B61" w:rsidRPr="008E526B">
        <w:t xml:space="preserve">Any </w:t>
      </w:r>
      <w:r w:rsidRPr="008E526B">
        <w:t>issues around access to medicines for people with rare cancers, particularly where there are no existing effective therapies; and</w:t>
      </w:r>
    </w:p>
    <w:p w:rsidR="007A36B5" w:rsidRPr="008E526B" w:rsidRDefault="007A36B5" w:rsidP="007A36B5">
      <w:r w:rsidRPr="008E526B">
        <w:t xml:space="preserve"> 3) Options that could broaden or lead to faster PBS listing for cancer indications.</w:t>
      </w:r>
    </w:p>
    <w:p w:rsidR="007A36B5" w:rsidRPr="008E526B" w:rsidRDefault="007A36B5" w:rsidP="007A36B5">
      <w:r w:rsidRPr="008E526B">
        <w:t xml:space="preserve">The PBAC elected to publish its initial views on this topic through a discussion paper in May 2018 and sought input from interested stakeholders ahead of further consideration at its August </w:t>
      </w:r>
      <w:r w:rsidR="008E526B">
        <w:t xml:space="preserve">2018 </w:t>
      </w:r>
      <w:r w:rsidRPr="008E526B">
        <w:t>and November 2018 meetings. The PBAC provided its final advice to the Minister in December 2018. Publication of the report on the PBS website</w:t>
      </w:r>
      <w:r w:rsidR="00203B61" w:rsidRPr="008E526B">
        <w:t xml:space="preserve"> is</w:t>
      </w:r>
      <w:r w:rsidRPr="008E526B">
        <w:t xml:space="preserve"> subject to the Minister’s consideration.</w:t>
      </w:r>
    </w:p>
    <w:p w:rsidR="007A36B5" w:rsidRPr="008E526B" w:rsidRDefault="007A36B5" w:rsidP="007A36B5">
      <w:r w:rsidRPr="008E526B">
        <w:t>The PBAC has considered 13 submissions for PD-(L</w:t>
      </w:r>
      <w:proofErr w:type="gramStart"/>
      <w:r w:rsidRPr="008E526B">
        <w:t>)1</w:t>
      </w:r>
      <w:proofErr w:type="gramEnd"/>
      <w:r w:rsidRPr="008E526B">
        <w:t xml:space="preserve"> inhibitors for use in NSCLC in a variety of patient populations and lines of therapy to date (as at February 2019). Further submissions are anticipated (Table 1).</w:t>
      </w:r>
    </w:p>
    <w:p w:rsidR="007A36B5" w:rsidRDefault="007A36B5" w:rsidP="007A36B5"/>
    <w:p w:rsidR="00D762A4" w:rsidRDefault="00D762A4" w:rsidP="007A36B5"/>
    <w:p w:rsidR="00D762A4" w:rsidRPr="00427B91" w:rsidRDefault="00D762A4" w:rsidP="00D762A4">
      <w:pPr>
        <w:rPr>
          <w:rFonts w:ascii="Arial Narrow" w:hAnsi="Arial Narrow"/>
          <w:b/>
          <w:sz w:val="20"/>
        </w:rPr>
      </w:pPr>
      <w:r w:rsidRPr="00427B91">
        <w:rPr>
          <w:rFonts w:ascii="Arial Narrow" w:hAnsi="Arial Narrow"/>
          <w:b/>
          <w:sz w:val="20"/>
        </w:rPr>
        <w:t xml:space="preserve">Table </w:t>
      </w:r>
      <w:r>
        <w:rPr>
          <w:rFonts w:ascii="Arial Narrow" w:hAnsi="Arial Narrow"/>
          <w:b/>
          <w:noProof/>
          <w:sz w:val="20"/>
        </w:rPr>
        <w:t>1</w:t>
      </w:r>
      <w:r>
        <w:rPr>
          <w:rFonts w:ascii="Arial Narrow" w:hAnsi="Arial Narrow"/>
          <w:b/>
          <w:sz w:val="20"/>
        </w:rPr>
        <w:t xml:space="preserve">: </w:t>
      </w:r>
      <w:r w:rsidRPr="00427B91">
        <w:rPr>
          <w:rFonts w:ascii="Arial Narrow" w:hAnsi="Arial Narrow"/>
          <w:b/>
          <w:sz w:val="20"/>
        </w:rPr>
        <w:t>TGA and PBAC submissions for PD-(L) 1 inhibitors for NSCLC (Bold text indicates positive PBAC recommendation) as at February 2019</w:t>
      </w:r>
    </w:p>
    <w:tbl>
      <w:tblPr>
        <w:tblStyle w:val="TableGrid"/>
        <w:tblpPr w:leftFromText="180" w:rightFromText="180" w:vertAnchor="text" w:horzAnchor="margin" w:tblpY="10"/>
        <w:tblW w:w="0" w:type="auto"/>
        <w:tblLook w:val="04A0" w:firstRow="1" w:lastRow="0" w:firstColumn="1" w:lastColumn="0" w:noHBand="0" w:noVBand="1"/>
        <w:tblCaption w:val="Table 1"/>
        <w:tblDescription w:val="TGA and PBAC submissions for PD-(L) 1 inhibitors for NSCLC (as at February 2019)"/>
      </w:tblPr>
      <w:tblGrid>
        <w:gridCol w:w="2331"/>
        <w:gridCol w:w="1152"/>
        <w:gridCol w:w="1237"/>
        <w:gridCol w:w="1043"/>
        <w:gridCol w:w="998"/>
        <w:gridCol w:w="1257"/>
        <w:gridCol w:w="998"/>
      </w:tblGrid>
      <w:tr w:rsidR="00D762A4" w:rsidRPr="008E526B" w:rsidTr="00D762A4">
        <w:trPr>
          <w:tblHeader/>
        </w:trPr>
        <w:tc>
          <w:tcPr>
            <w:tcW w:w="0" w:type="auto"/>
            <w:vMerge w:val="restart"/>
          </w:tcPr>
          <w:p w:rsidR="00D762A4" w:rsidRPr="007773AC" w:rsidRDefault="00D762A4" w:rsidP="00D762A4">
            <w:pPr>
              <w:rPr>
                <w:rFonts w:ascii="Arial Narrow" w:eastAsia="Calibri" w:hAnsi="Arial Narrow"/>
                <w:b/>
                <w:sz w:val="20"/>
                <w:shd w:val="clear" w:color="auto" w:fill="FFFFFF"/>
              </w:rPr>
            </w:pPr>
            <w:r w:rsidRPr="007773AC">
              <w:rPr>
                <w:rFonts w:ascii="Arial Narrow" w:eastAsia="Calibri" w:hAnsi="Arial Narrow"/>
                <w:b/>
                <w:sz w:val="20"/>
                <w:shd w:val="clear" w:color="auto" w:fill="FFFFFF"/>
              </w:rPr>
              <w:t>Drug and Indication</w:t>
            </w:r>
          </w:p>
        </w:tc>
        <w:tc>
          <w:tcPr>
            <w:tcW w:w="0" w:type="auto"/>
            <w:vMerge w:val="restart"/>
          </w:tcPr>
          <w:p w:rsidR="00D762A4" w:rsidRPr="007773AC" w:rsidRDefault="00D762A4" w:rsidP="00D762A4">
            <w:pPr>
              <w:rPr>
                <w:rFonts w:ascii="Arial Narrow" w:eastAsia="Calibri" w:hAnsi="Arial Narrow"/>
                <w:b/>
                <w:sz w:val="20"/>
                <w:shd w:val="clear" w:color="auto" w:fill="FFFFFF"/>
              </w:rPr>
            </w:pPr>
            <w:r w:rsidRPr="007773AC">
              <w:rPr>
                <w:rFonts w:ascii="Arial Narrow" w:eastAsia="Calibri" w:hAnsi="Arial Narrow"/>
                <w:b/>
                <w:sz w:val="20"/>
                <w:shd w:val="clear" w:color="auto" w:fill="FFFFFF"/>
              </w:rPr>
              <w:t>TGA submission</w:t>
            </w:r>
          </w:p>
        </w:tc>
        <w:tc>
          <w:tcPr>
            <w:tcW w:w="0" w:type="auto"/>
            <w:vMerge w:val="restart"/>
          </w:tcPr>
          <w:p w:rsidR="00D762A4" w:rsidRPr="007773AC" w:rsidRDefault="00D762A4" w:rsidP="00D762A4">
            <w:pPr>
              <w:rPr>
                <w:rFonts w:ascii="Arial Narrow" w:eastAsia="Calibri" w:hAnsi="Arial Narrow"/>
                <w:b/>
                <w:sz w:val="20"/>
                <w:shd w:val="clear" w:color="auto" w:fill="FFFFFF"/>
              </w:rPr>
            </w:pPr>
            <w:r w:rsidRPr="007773AC">
              <w:rPr>
                <w:rFonts w:ascii="Arial Narrow" w:eastAsia="Calibri" w:hAnsi="Arial Narrow"/>
                <w:b/>
                <w:sz w:val="20"/>
                <w:shd w:val="clear" w:color="auto" w:fill="FFFFFF"/>
              </w:rPr>
              <w:t xml:space="preserve">TGA approval </w:t>
            </w:r>
          </w:p>
        </w:tc>
        <w:tc>
          <w:tcPr>
            <w:tcW w:w="0" w:type="auto"/>
            <w:gridSpan w:val="3"/>
          </w:tcPr>
          <w:p w:rsidR="00D762A4" w:rsidRPr="007773AC" w:rsidRDefault="00D762A4" w:rsidP="00D762A4">
            <w:pPr>
              <w:rPr>
                <w:rFonts w:ascii="Arial Narrow" w:eastAsia="Calibri" w:hAnsi="Arial Narrow"/>
                <w:b/>
                <w:sz w:val="20"/>
                <w:shd w:val="clear" w:color="auto" w:fill="FFFFFF"/>
              </w:rPr>
            </w:pPr>
            <w:r w:rsidRPr="007773AC">
              <w:rPr>
                <w:rFonts w:ascii="Arial Narrow" w:eastAsia="Calibri" w:hAnsi="Arial Narrow"/>
                <w:b/>
                <w:sz w:val="20"/>
                <w:shd w:val="clear" w:color="auto" w:fill="FFFFFF"/>
              </w:rPr>
              <w:t>PBAC consideration</w:t>
            </w:r>
          </w:p>
        </w:tc>
        <w:tc>
          <w:tcPr>
            <w:tcW w:w="0" w:type="auto"/>
          </w:tcPr>
          <w:p w:rsidR="00D762A4" w:rsidRPr="008E526B" w:rsidRDefault="00D762A4" w:rsidP="00D762A4">
            <w:pPr>
              <w:rPr>
                <w:rFonts w:ascii="Arial Narrow" w:eastAsia="Calibri" w:hAnsi="Arial Narrow"/>
                <w:b/>
                <w:sz w:val="20"/>
                <w:shd w:val="clear" w:color="auto" w:fill="FFFFFF"/>
              </w:rPr>
            </w:pPr>
            <w:r w:rsidRPr="008E526B">
              <w:rPr>
                <w:rFonts w:ascii="Arial Narrow" w:eastAsia="Calibri" w:hAnsi="Arial Narrow"/>
                <w:b/>
                <w:sz w:val="20"/>
                <w:shd w:val="clear" w:color="auto" w:fill="FFFFFF"/>
              </w:rPr>
              <w:t>PBS listing</w:t>
            </w:r>
          </w:p>
        </w:tc>
      </w:tr>
      <w:tr w:rsidR="00D762A4" w:rsidRPr="008E526B" w:rsidTr="00D762A4">
        <w:trPr>
          <w:trHeight w:val="373"/>
        </w:trPr>
        <w:tc>
          <w:tcPr>
            <w:tcW w:w="0" w:type="auto"/>
            <w:vMerge/>
          </w:tcPr>
          <w:p w:rsidR="00D762A4" w:rsidRPr="007773AC" w:rsidRDefault="00D762A4" w:rsidP="00D762A4">
            <w:pPr>
              <w:rPr>
                <w:rFonts w:ascii="Arial Narrow" w:eastAsia="Calibri" w:hAnsi="Arial Narrow"/>
                <w:sz w:val="20"/>
                <w:shd w:val="clear" w:color="auto" w:fill="FFFFFF"/>
              </w:rPr>
            </w:pPr>
          </w:p>
        </w:tc>
        <w:tc>
          <w:tcPr>
            <w:tcW w:w="0" w:type="auto"/>
            <w:vMerge/>
          </w:tcPr>
          <w:p w:rsidR="00D762A4" w:rsidRPr="007773AC" w:rsidRDefault="00D762A4" w:rsidP="00D762A4">
            <w:pPr>
              <w:rPr>
                <w:rFonts w:ascii="Arial Narrow" w:eastAsia="Calibri" w:hAnsi="Arial Narrow"/>
                <w:sz w:val="20"/>
                <w:shd w:val="clear" w:color="auto" w:fill="FFFFFF"/>
              </w:rPr>
            </w:pPr>
          </w:p>
        </w:tc>
        <w:tc>
          <w:tcPr>
            <w:tcW w:w="0" w:type="auto"/>
            <w:vMerge/>
          </w:tcPr>
          <w:p w:rsidR="00D762A4" w:rsidRPr="007773AC" w:rsidRDefault="00D762A4" w:rsidP="00D762A4">
            <w:pPr>
              <w:rPr>
                <w:rFonts w:ascii="Arial Narrow" w:eastAsia="Calibri" w:hAnsi="Arial Narrow"/>
                <w:sz w:val="20"/>
                <w:shd w:val="clear" w:color="auto" w:fill="FFFFFF"/>
              </w:rPr>
            </w:pPr>
          </w:p>
        </w:tc>
        <w:tc>
          <w:tcPr>
            <w:tcW w:w="0" w:type="auto"/>
          </w:tcPr>
          <w:p w:rsidR="00D762A4" w:rsidRPr="007773AC" w:rsidRDefault="00D762A4" w:rsidP="00D762A4">
            <w:pPr>
              <w:rPr>
                <w:rFonts w:ascii="Arial Narrow" w:eastAsia="Calibri" w:hAnsi="Arial Narrow"/>
                <w:b/>
                <w:sz w:val="20"/>
                <w:shd w:val="clear" w:color="auto" w:fill="FFFFFF"/>
              </w:rPr>
            </w:pPr>
            <w:r w:rsidRPr="007773AC">
              <w:rPr>
                <w:rFonts w:ascii="Arial Narrow" w:eastAsia="Calibri" w:hAnsi="Arial Narrow"/>
                <w:b/>
                <w:sz w:val="20"/>
                <w:shd w:val="clear" w:color="auto" w:fill="FFFFFF"/>
              </w:rPr>
              <w:t>First</w:t>
            </w:r>
          </w:p>
        </w:tc>
        <w:tc>
          <w:tcPr>
            <w:tcW w:w="0" w:type="auto"/>
          </w:tcPr>
          <w:p w:rsidR="00D762A4" w:rsidRPr="007773AC" w:rsidRDefault="00D762A4" w:rsidP="00D762A4">
            <w:pPr>
              <w:rPr>
                <w:rFonts w:ascii="Arial Narrow" w:eastAsia="Calibri" w:hAnsi="Arial Narrow"/>
                <w:b/>
                <w:sz w:val="20"/>
                <w:shd w:val="clear" w:color="auto" w:fill="FFFFFF"/>
              </w:rPr>
            </w:pPr>
            <w:r w:rsidRPr="007773AC">
              <w:rPr>
                <w:rFonts w:ascii="Arial Narrow" w:eastAsia="Calibri" w:hAnsi="Arial Narrow"/>
                <w:b/>
                <w:sz w:val="20"/>
                <w:shd w:val="clear" w:color="auto" w:fill="FFFFFF"/>
              </w:rPr>
              <w:t>Second</w:t>
            </w:r>
          </w:p>
        </w:tc>
        <w:tc>
          <w:tcPr>
            <w:tcW w:w="0" w:type="auto"/>
          </w:tcPr>
          <w:p w:rsidR="00D762A4" w:rsidRPr="008E526B" w:rsidRDefault="00D762A4" w:rsidP="00D762A4">
            <w:pPr>
              <w:rPr>
                <w:rFonts w:ascii="Arial Narrow" w:eastAsia="Calibri" w:hAnsi="Arial Narrow"/>
                <w:b/>
                <w:sz w:val="20"/>
                <w:shd w:val="clear" w:color="auto" w:fill="FFFFFF"/>
              </w:rPr>
            </w:pPr>
            <w:r w:rsidRPr="008E526B">
              <w:rPr>
                <w:rFonts w:ascii="Arial Narrow" w:eastAsia="Calibri" w:hAnsi="Arial Narrow"/>
                <w:b/>
                <w:sz w:val="20"/>
                <w:shd w:val="clear" w:color="auto" w:fill="FFFFFF"/>
              </w:rPr>
              <w:t>Third and subsequent</w:t>
            </w:r>
          </w:p>
        </w:tc>
        <w:tc>
          <w:tcPr>
            <w:tcW w:w="0" w:type="auto"/>
          </w:tcPr>
          <w:p w:rsidR="00D762A4" w:rsidRPr="008E526B" w:rsidRDefault="00D762A4" w:rsidP="00D762A4">
            <w:pPr>
              <w:rPr>
                <w:rFonts w:eastAsia="Calibri"/>
                <w:shd w:val="clear" w:color="auto" w:fill="FFFFFF"/>
              </w:rPr>
            </w:pPr>
          </w:p>
        </w:tc>
      </w:tr>
      <w:tr w:rsidR="00D762A4" w:rsidRPr="008E526B" w:rsidTr="00D762A4">
        <w:tc>
          <w:tcPr>
            <w:tcW w:w="0" w:type="auto"/>
            <w:gridSpan w:val="7"/>
            <w:shd w:val="clear" w:color="auto" w:fill="FFD1D1"/>
          </w:tcPr>
          <w:p w:rsidR="00D762A4" w:rsidRPr="007773AC" w:rsidRDefault="00D762A4" w:rsidP="00D762A4">
            <w:pPr>
              <w:rPr>
                <w:rFonts w:ascii="Arial Narrow" w:eastAsia="Calibri" w:hAnsi="Arial Narrow"/>
                <w:color w:val="222222"/>
                <w:sz w:val="20"/>
                <w:shd w:val="clear" w:color="auto" w:fill="FFFFFF"/>
              </w:rPr>
            </w:pPr>
            <w:r w:rsidRPr="007773AC">
              <w:rPr>
                <w:rFonts w:ascii="Arial Narrow" w:eastAsia="Calibri" w:hAnsi="Arial Narrow"/>
                <w:sz w:val="20"/>
              </w:rPr>
              <w:t>NIVOLUMAB</w:t>
            </w:r>
          </w:p>
        </w:tc>
      </w:tr>
      <w:tr w:rsidR="00D762A4" w:rsidRPr="008E526B" w:rsidTr="00D762A4">
        <w:tc>
          <w:tcPr>
            <w:tcW w:w="0" w:type="auto"/>
          </w:tcPr>
          <w:p w:rsidR="00D762A4" w:rsidRPr="007773AC" w:rsidRDefault="00D762A4" w:rsidP="00D762A4">
            <w:pPr>
              <w:rPr>
                <w:rFonts w:ascii="Arial Narrow" w:eastAsia="Calibri" w:hAnsi="Arial Narrow"/>
                <w:sz w:val="20"/>
              </w:rPr>
            </w:pPr>
            <w:r w:rsidRPr="007773AC">
              <w:rPr>
                <w:rFonts w:ascii="Arial Narrow" w:eastAsia="Calibri" w:hAnsi="Arial Narrow"/>
                <w:sz w:val="20"/>
              </w:rPr>
              <w:t xml:space="preserve">Treatment of locally advanced or metastatic squamous NSCLC with progression on or after prior chemotherapy </w:t>
            </w:r>
          </w:p>
        </w:tc>
        <w:tc>
          <w:tcPr>
            <w:tcW w:w="0" w:type="auto"/>
          </w:tcPr>
          <w:p w:rsidR="00D762A4" w:rsidRPr="00D762A4" w:rsidRDefault="00D762A4" w:rsidP="00D762A4">
            <w:pPr>
              <w:rPr>
                <w:rFonts w:ascii="Arial Narrow" w:eastAsia="Calibri" w:hAnsi="Arial Narrow"/>
                <w:sz w:val="20"/>
                <w:highlight w:val="black"/>
              </w:rPr>
            </w:pPr>
            <w:r>
              <w:rPr>
                <w:rFonts w:ascii="Arial Narrow" w:eastAsia="Calibri" w:hAnsi="Arial Narrow"/>
                <w:noProof/>
                <w:color w:val="000000"/>
                <w:sz w:val="20"/>
                <w:highlight w:val="black"/>
              </w:rPr>
              <w:t>''''''''''''</w:t>
            </w:r>
          </w:p>
        </w:tc>
        <w:tc>
          <w:tcPr>
            <w:tcW w:w="0" w:type="auto"/>
          </w:tcPr>
          <w:p w:rsidR="00D762A4" w:rsidRPr="007773AC" w:rsidRDefault="00D762A4" w:rsidP="00D762A4">
            <w:pPr>
              <w:rPr>
                <w:rFonts w:ascii="Arial Narrow" w:eastAsia="Calibri" w:hAnsi="Arial Narrow"/>
                <w:b/>
                <w:color w:val="222222"/>
                <w:sz w:val="20"/>
                <w:shd w:val="clear" w:color="auto" w:fill="FFFFFF"/>
              </w:rPr>
            </w:pPr>
            <w:r>
              <w:rPr>
                <w:rFonts w:ascii="Arial Narrow" w:eastAsia="Calibri" w:hAnsi="Arial Narrow"/>
                <w:sz w:val="20"/>
              </w:rPr>
              <w:t>11</w:t>
            </w:r>
            <w:r w:rsidRPr="007773AC">
              <w:rPr>
                <w:rFonts w:ascii="Arial Narrow" w:eastAsia="Calibri" w:hAnsi="Arial Narrow"/>
                <w:sz w:val="20"/>
              </w:rPr>
              <w:t xml:space="preserve"> January 2016</w:t>
            </w:r>
          </w:p>
        </w:tc>
        <w:tc>
          <w:tcPr>
            <w:tcW w:w="0" w:type="auto"/>
          </w:tcPr>
          <w:p w:rsidR="00D762A4" w:rsidRPr="007773AC" w:rsidRDefault="00D762A4" w:rsidP="00D762A4">
            <w:pPr>
              <w:rPr>
                <w:rFonts w:ascii="Arial Narrow" w:eastAsia="Calibri" w:hAnsi="Arial Narrow"/>
                <w:sz w:val="20"/>
                <w:shd w:val="clear" w:color="auto" w:fill="FFFFFF"/>
              </w:rPr>
            </w:pPr>
            <w:r w:rsidRPr="007773AC">
              <w:rPr>
                <w:rFonts w:ascii="Arial Narrow" w:eastAsia="Calibri" w:hAnsi="Arial Narrow"/>
                <w:sz w:val="20"/>
                <w:shd w:val="clear" w:color="auto" w:fill="FFFFFF"/>
              </w:rPr>
              <w:t>March 2016</w:t>
            </w:r>
          </w:p>
        </w:tc>
        <w:tc>
          <w:tcPr>
            <w:tcW w:w="0" w:type="auto"/>
          </w:tcPr>
          <w:p w:rsidR="00D762A4" w:rsidRPr="007773AC" w:rsidRDefault="00D762A4" w:rsidP="00D762A4">
            <w:pPr>
              <w:rPr>
                <w:rFonts w:ascii="Arial Narrow" w:eastAsia="Calibri" w:hAnsi="Arial Narrow"/>
                <w:sz w:val="20"/>
                <w:shd w:val="clear" w:color="auto" w:fill="FFFFFF"/>
              </w:rPr>
            </w:pPr>
            <w:r w:rsidRPr="007773AC">
              <w:rPr>
                <w:rFonts w:ascii="Arial Narrow" w:eastAsia="Calibri" w:hAnsi="Arial Narrow"/>
                <w:sz w:val="20"/>
                <w:shd w:val="clear" w:color="auto" w:fill="FFFFFF"/>
              </w:rPr>
              <w:t>November 2016</w:t>
            </w:r>
          </w:p>
        </w:tc>
        <w:tc>
          <w:tcPr>
            <w:tcW w:w="0" w:type="auto"/>
            <w:shd w:val="clear" w:color="auto" w:fill="auto"/>
          </w:tcPr>
          <w:p w:rsidR="00D762A4" w:rsidRDefault="00D762A4" w:rsidP="00D762A4">
            <w:pPr>
              <w:rPr>
                <w:rFonts w:ascii="Arial Narrow" w:eastAsia="Calibri" w:hAnsi="Arial Narrow"/>
                <w:b/>
                <w:sz w:val="20"/>
                <w:shd w:val="clear" w:color="auto" w:fill="FFFFFF"/>
              </w:rPr>
            </w:pPr>
            <w:r w:rsidRPr="008E526B">
              <w:rPr>
                <w:rFonts w:ascii="Arial Narrow" w:eastAsia="Calibri" w:hAnsi="Arial Narrow"/>
                <w:b/>
                <w:sz w:val="20"/>
                <w:shd w:val="clear" w:color="auto" w:fill="FFFFFF"/>
              </w:rPr>
              <w:t>March 2017</w:t>
            </w:r>
          </w:p>
          <w:p w:rsidR="00D762A4" w:rsidRPr="00CC1E93" w:rsidRDefault="00D762A4" w:rsidP="00D762A4">
            <w:pPr>
              <w:rPr>
                <w:rFonts w:ascii="Arial Narrow" w:hAnsi="Arial Narrow"/>
                <w:sz w:val="14"/>
                <w:shd w:val="clear" w:color="auto" w:fill="FFFFFF"/>
              </w:rPr>
            </w:pPr>
            <w:r w:rsidRPr="00CC1E93">
              <w:rPr>
                <w:rFonts w:ascii="Arial Narrow" w:eastAsia="Calibri" w:hAnsi="Arial Narrow"/>
                <w:sz w:val="14"/>
              </w:rPr>
              <w:t>(</w:t>
            </w:r>
            <w:r>
              <w:rPr>
                <w:rFonts w:ascii="Arial Narrow" w:hAnsi="Arial Narrow"/>
                <w:sz w:val="14"/>
                <w:shd w:val="clear" w:color="auto" w:fill="FFFFFF"/>
              </w:rPr>
              <w:t>c</w:t>
            </w:r>
            <w:r w:rsidRPr="00CC1E93">
              <w:rPr>
                <w:rFonts w:ascii="Arial Narrow" w:hAnsi="Arial Narrow"/>
                <w:sz w:val="14"/>
                <w:shd w:val="clear" w:color="auto" w:fill="FFFFFF"/>
              </w:rPr>
              <w:t>ombined non-squamous and squamous consideration)</w:t>
            </w:r>
          </w:p>
          <w:p w:rsidR="00D762A4" w:rsidRPr="00CC1E93" w:rsidRDefault="00D762A4" w:rsidP="00D762A4">
            <w:pPr>
              <w:rPr>
                <w:rFonts w:ascii="Arial Narrow" w:eastAsia="Calibri" w:hAnsi="Arial Narrow"/>
                <w:sz w:val="20"/>
              </w:rPr>
            </w:pPr>
          </w:p>
        </w:tc>
        <w:tc>
          <w:tcPr>
            <w:tcW w:w="0" w:type="auto"/>
            <w:shd w:val="clear" w:color="auto" w:fill="auto"/>
          </w:tcPr>
          <w:p w:rsidR="00D762A4" w:rsidRPr="008E526B" w:rsidRDefault="00D762A4" w:rsidP="00D762A4">
            <w:pPr>
              <w:rPr>
                <w:rFonts w:ascii="Arial Narrow" w:eastAsia="Calibri" w:hAnsi="Arial Narrow"/>
                <w:sz w:val="20"/>
                <w:shd w:val="clear" w:color="auto" w:fill="FFFFFF"/>
              </w:rPr>
            </w:pPr>
            <w:r w:rsidRPr="008E526B">
              <w:rPr>
                <w:rFonts w:ascii="Arial Narrow" w:eastAsia="Calibri" w:hAnsi="Arial Narrow"/>
                <w:sz w:val="20"/>
                <w:shd w:val="clear" w:color="auto" w:fill="FFFFFF"/>
              </w:rPr>
              <w:t>August 2017</w:t>
            </w:r>
          </w:p>
        </w:tc>
      </w:tr>
      <w:tr w:rsidR="00D762A4" w:rsidRPr="008E526B" w:rsidTr="00D762A4">
        <w:tc>
          <w:tcPr>
            <w:tcW w:w="0" w:type="auto"/>
          </w:tcPr>
          <w:p w:rsidR="00D762A4" w:rsidRPr="007773AC" w:rsidRDefault="00D762A4" w:rsidP="00D762A4">
            <w:pPr>
              <w:rPr>
                <w:rFonts w:ascii="Arial Narrow" w:eastAsia="Calibri" w:hAnsi="Arial Narrow"/>
                <w:sz w:val="20"/>
              </w:rPr>
            </w:pPr>
            <w:r w:rsidRPr="007773AC">
              <w:rPr>
                <w:rFonts w:ascii="Arial Narrow" w:eastAsia="Calibri" w:hAnsi="Arial Narrow"/>
                <w:sz w:val="20"/>
              </w:rPr>
              <w:t xml:space="preserve">Treatment of locally advanced or metastatic non-squamous NSCLC with progression on or after prior chemotherapy. </w:t>
            </w:r>
          </w:p>
        </w:tc>
        <w:tc>
          <w:tcPr>
            <w:tcW w:w="0" w:type="auto"/>
          </w:tcPr>
          <w:p w:rsidR="00D762A4" w:rsidRPr="00D762A4" w:rsidRDefault="00D762A4" w:rsidP="00D762A4">
            <w:pPr>
              <w:rPr>
                <w:rFonts w:ascii="Arial Narrow" w:eastAsia="Calibri" w:hAnsi="Arial Narrow"/>
                <w:sz w:val="20"/>
                <w:highlight w:val="black"/>
              </w:rPr>
            </w:pPr>
            <w:r>
              <w:rPr>
                <w:rFonts w:ascii="Arial Narrow" w:eastAsia="Calibri" w:hAnsi="Arial Narrow"/>
                <w:noProof/>
                <w:color w:val="000000"/>
                <w:sz w:val="20"/>
                <w:highlight w:val="black"/>
              </w:rPr>
              <w:t>'''''''''''</w:t>
            </w:r>
          </w:p>
        </w:tc>
        <w:tc>
          <w:tcPr>
            <w:tcW w:w="0" w:type="auto"/>
          </w:tcPr>
          <w:p w:rsidR="00D762A4" w:rsidRPr="007773AC" w:rsidRDefault="00D762A4" w:rsidP="00D762A4">
            <w:pPr>
              <w:rPr>
                <w:rFonts w:ascii="Arial Narrow" w:eastAsia="Calibri" w:hAnsi="Arial Narrow"/>
                <w:b/>
                <w:color w:val="222222"/>
                <w:sz w:val="20"/>
                <w:shd w:val="clear" w:color="auto" w:fill="FFFFFF"/>
              </w:rPr>
            </w:pPr>
            <w:r>
              <w:rPr>
                <w:rFonts w:ascii="Arial Narrow" w:eastAsia="Calibri" w:hAnsi="Arial Narrow"/>
                <w:sz w:val="20"/>
              </w:rPr>
              <w:t>17</w:t>
            </w:r>
            <w:r w:rsidRPr="007773AC">
              <w:rPr>
                <w:rFonts w:ascii="Arial Narrow" w:eastAsia="Calibri" w:hAnsi="Arial Narrow"/>
                <w:sz w:val="20"/>
              </w:rPr>
              <w:t xml:space="preserve"> February 2016</w:t>
            </w:r>
          </w:p>
        </w:tc>
        <w:tc>
          <w:tcPr>
            <w:tcW w:w="0" w:type="auto"/>
          </w:tcPr>
          <w:p w:rsidR="00D762A4" w:rsidRPr="007773AC" w:rsidRDefault="00D762A4" w:rsidP="00D762A4">
            <w:pPr>
              <w:rPr>
                <w:rFonts w:ascii="Arial Narrow" w:eastAsia="Calibri" w:hAnsi="Arial Narrow"/>
                <w:sz w:val="20"/>
                <w:shd w:val="clear" w:color="auto" w:fill="FFFFFF"/>
              </w:rPr>
            </w:pPr>
            <w:r w:rsidRPr="007773AC">
              <w:rPr>
                <w:rFonts w:ascii="Arial Narrow" w:eastAsia="Calibri" w:hAnsi="Arial Narrow"/>
                <w:sz w:val="20"/>
                <w:shd w:val="clear" w:color="auto" w:fill="FFFFFF"/>
              </w:rPr>
              <w:t>March 2016</w:t>
            </w:r>
          </w:p>
        </w:tc>
        <w:tc>
          <w:tcPr>
            <w:tcW w:w="0" w:type="auto"/>
          </w:tcPr>
          <w:p w:rsidR="00D762A4" w:rsidRPr="007773AC" w:rsidRDefault="00D762A4" w:rsidP="00D762A4">
            <w:pPr>
              <w:rPr>
                <w:rFonts w:ascii="Arial Narrow" w:eastAsia="Calibri" w:hAnsi="Arial Narrow"/>
                <w:sz w:val="20"/>
                <w:shd w:val="clear" w:color="auto" w:fill="FFFFFF"/>
              </w:rPr>
            </w:pPr>
            <w:r w:rsidRPr="007773AC">
              <w:rPr>
                <w:rFonts w:ascii="Arial Narrow" w:eastAsia="Calibri" w:hAnsi="Arial Narrow"/>
                <w:sz w:val="20"/>
                <w:shd w:val="clear" w:color="auto" w:fill="FFFFFF"/>
              </w:rPr>
              <w:t>November 2016</w:t>
            </w:r>
          </w:p>
        </w:tc>
        <w:tc>
          <w:tcPr>
            <w:tcW w:w="0" w:type="auto"/>
            <w:shd w:val="clear" w:color="auto" w:fill="auto"/>
          </w:tcPr>
          <w:p w:rsidR="00D762A4" w:rsidRDefault="00D762A4" w:rsidP="00D762A4">
            <w:pPr>
              <w:rPr>
                <w:rFonts w:ascii="Arial Narrow" w:eastAsia="Calibri" w:hAnsi="Arial Narrow"/>
                <w:b/>
                <w:sz w:val="20"/>
                <w:shd w:val="clear" w:color="auto" w:fill="FFFFFF"/>
              </w:rPr>
            </w:pPr>
            <w:r w:rsidRPr="008E526B">
              <w:rPr>
                <w:rFonts w:ascii="Arial Narrow" w:eastAsia="Calibri" w:hAnsi="Arial Narrow"/>
                <w:b/>
                <w:sz w:val="20"/>
                <w:shd w:val="clear" w:color="auto" w:fill="FFFFFF"/>
              </w:rPr>
              <w:t>March 2017</w:t>
            </w:r>
          </w:p>
          <w:p w:rsidR="00D762A4" w:rsidRPr="00CC1E93" w:rsidRDefault="00D762A4" w:rsidP="00D762A4">
            <w:pPr>
              <w:rPr>
                <w:rFonts w:ascii="Arial Narrow" w:hAnsi="Arial Narrow"/>
                <w:sz w:val="14"/>
                <w:shd w:val="clear" w:color="auto" w:fill="FFFFFF"/>
              </w:rPr>
            </w:pPr>
            <w:r w:rsidRPr="00CC1E93">
              <w:rPr>
                <w:rFonts w:ascii="Arial Narrow" w:eastAsia="Calibri" w:hAnsi="Arial Narrow"/>
                <w:sz w:val="14"/>
                <w:szCs w:val="14"/>
              </w:rPr>
              <w:t>(</w:t>
            </w:r>
            <w:r w:rsidRPr="00CC1E93">
              <w:rPr>
                <w:rFonts w:ascii="Arial Narrow" w:hAnsi="Arial Narrow"/>
                <w:sz w:val="14"/>
                <w:szCs w:val="14"/>
                <w:shd w:val="clear" w:color="auto" w:fill="FFFFFF"/>
              </w:rPr>
              <w:t>combined</w:t>
            </w:r>
            <w:r w:rsidRPr="00CC1E93">
              <w:rPr>
                <w:rFonts w:ascii="Arial Narrow" w:hAnsi="Arial Narrow"/>
                <w:sz w:val="14"/>
                <w:shd w:val="clear" w:color="auto" w:fill="FFFFFF"/>
              </w:rPr>
              <w:t xml:space="preserve"> non-squamous and squamous consideration)</w:t>
            </w:r>
          </w:p>
          <w:p w:rsidR="00D762A4" w:rsidRPr="00CC1E93" w:rsidRDefault="00D762A4" w:rsidP="00D762A4">
            <w:pPr>
              <w:rPr>
                <w:rFonts w:ascii="Arial Narrow" w:eastAsia="Calibri" w:hAnsi="Arial Narrow"/>
                <w:sz w:val="20"/>
              </w:rPr>
            </w:pPr>
          </w:p>
        </w:tc>
        <w:tc>
          <w:tcPr>
            <w:tcW w:w="0" w:type="auto"/>
            <w:shd w:val="clear" w:color="auto" w:fill="auto"/>
          </w:tcPr>
          <w:p w:rsidR="00D762A4" w:rsidRPr="008E526B" w:rsidRDefault="00D762A4" w:rsidP="00D762A4">
            <w:pPr>
              <w:rPr>
                <w:rFonts w:ascii="Arial Narrow" w:eastAsia="Calibri" w:hAnsi="Arial Narrow"/>
                <w:sz w:val="20"/>
                <w:shd w:val="clear" w:color="auto" w:fill="FFFFFF"/>
              </w:rPr>
            </w:pPr>
            <w:r w:rsidRPr="008E526B">
              <w:rPr>
                <w:rFonts w:ascii="Arial Narrow" w:eastAsia="Calibri" w:hAnsi="Arial Narrow"/>
                <w:sz w:val="20"/>
                <w:shd w:val="clear" w:color="auto" w:fill="FFFFFF"/>
              </w:rPr>
              <w:t>August 2017</w:t>
            </w:r>
          </w:p>
        </w:tc>
      </w:tr>
      <w:tr w:rsidR="00D762A4" w:rsidRPr="008E526B" w:rsidTr="00D762A4">
        <w:tc>
          <w:tcPr>
            <w:tcW w:w="0" w:type="auto"/>
            <w:gridSpan w:val="7"/>
            <w:shd w:val="clear" w:color="auto" w:fill="D6E3BC" w:themeFill="accent3" w:themeFillTint="66"/>
          </w:tcPr>
          <w:p w:rsidR="00D762A4" w:rsidRPr="007773AC" w:rsidRDefault="00D762A4" w:rsidP="00D762A4">
            <w:pPr>
              <w:rPr>
                <w:rFonts w:ascii="Arial Narrow" w:eastAsia="Calibri" w:hAnsi="Arial Narrow"/>
                <w:color w:val="222222"/>
                <w:sz w:val="20"/>
                <w:shd w:val="clear" w:color="auto" w:fill="FFFFFF"/>
              </w:rPr>
            </w:pPr>
            <w:r w:rsidRPr="007773AC">
              <w:rPr>
                <w:rFonts w:ascii="Arial Narrow" w:eastAsia="Calibri" w:hAnsi="Arial Narrow"/>
                <w:sz w:val="20"/>
              </w:rPr>
              <w:t>PEMBROLIZUMAB</w:t>
            </w:r>
          </w:p>
        </w:tc>
      </w:tr>
      <w:tr w:rsidR="00D762A4" w:rsidRPr="008E526B" w:rsidTr="00D762A4">
        <w:tc>
          <w:tcPr>
            <w:tcW w:w="0" w:type="auto"/>
          </w:tcPr>
          <w:p w:rsidR="00D762A4" w:rsidRPr="007773AC" w:rsidRDefault="00D762A4" w:rsidP="00D762A4">
            <w:pPr>
              <w:rPr>
                <w:rFonts w:ascii="Arial Narrow" w:eastAsia="Calibri" w:hAnsi="Arial Narrow"/>
                <w:sz w:val="20"/>
              </w:rPr>
            </w:pPr>
            <w:r w:rsidRPr="007773AC">
              <w:rPr>
                <w:rFonts w:ascii="Arial Narrow" w:eastAsia="Calibri" w:hAnsi="Arial Narrow"/>
                <w:sz w:val="20"/>
              </w:rPr>
              <w:t>First-line treatment of patients with metastatic NSCLC whose tumours express PD-L1 with a greater than or equal to 50% tumour proportion score (TPS) as determined by a validated test, with no EGFR or ALK genomic tumour aberrations</w:t>
            </w:r>
          </w:p>
        </w:tc>
        <w:tc>
          <w:tcPr>
            <w:tcW w:w="0" w:type="auto"/>
          </w:tcPr>
          <w:p w:rsidR="00D762A4" w:rsidRPr="007773AC" w:rsidRDefault="00D762A4" w:rsidP="00D762A4">
            <w:pPr>
              <w:rPr>
                <w:rFonts w:ascii="Arial Narrow" w:eastAsia="Calibri" w:hAnsi="Arial Narrow"/>
                <w:sz w:val="20"/>
              </w:rPr>
            </w:pPr>
            <w:r w:rsidRPr="007773AC">
              <w:rPr>
                <w:rFonts w:ascii="Arial Narrow" w:eastAsia="Calibri" w:hAnsi="Arial Narrow"/>
                <w:sz w:val="20"/>
              </w:rPr>
              <w:t>2016</w:t>
            </w:r>
          </w:p>
        </w:tc>
        <w:tc>
          <w:tcPr>
            <w:tcW w:w="0" w:type="auto"/>
          </w:tcPr>
          <w:p w:rsidR="00D762A4" w:rsidRPr="007773AC" w:rsidRDefault="00D762A4" w:rsidP="00D762A4">
            <w:pPr>
              <w:rPr>
                <w:rFonts w:ascii="Arial Narrow" w:eastAsia="Calibri" w:hAnsi="Arial Narrow"/>
                <w:sz w:val="20"/>
              </w:rPr>
            </w:pPr>
            <w:r w:rsidRPr="007773AC">
              <w:rPr>
                <w:rFonts w:ascii="Arial Narrow" w:eastAsia="Calibri" w:hAnsi="Arial Narrow"/>
                <w:sz w:val="20"/>
              </w:rPr>
              <w:t>3 March 2017</w:t>
            </w:r>
          </w:p>
        </w:tc>
        <w:tc>
          <w:tcPr>
            <w:tcW w:w="0" w:type="auto"/>
          </w:tcPr>
          <w:p w:rsidR="00D762A4" w:rsidRPr="007773AC" w:rsidRDefault="00D762A4" w:rsidP="00D762A4">
            <w:pPr>
              <w:rPr>
                <w:rFonts w:ascii="Arial Narrow" w:eastAsia="Calibri" w:hAnsi="Arial Narrow"/>
                <w:sz w:val="20"/>
                <w:shd w:val="clear" w:color="auto" w:fill="FFFFFF"/>
              </w:rPr>
            </w:pPr>
            <w:r w:rsidRPr="007773AC">
              <w:rPr>
                <w:rFonts w:ascii="Arial Narrow" w:eastAsia="Calibri" w:hAnsi="Arial Narrow"/>
                <w:sz w:val="20"/>
                <w:shd w:val="clear" w:color="auto" w:fill="FFFFFF"/>
              </w:rPr>
              <w:t xml:space="preserve"> March 2017</w:t>
            </w:r>
          </w:p>
        </w:tc>
        <w:tc>
          <w:tcPr>
            <w:tcW w:w="0" w:type="auto"/>
          </w:tcPr>
          <w:p w:rsidR="00D762A4" w:rsidRPr="007773AC" w:rsidRDefault="00D762A4" w:rsidP="00D762A4">
            <w:pPr>
              <w:rPr>
                <w:rFonts w:ascii="Arial Narrow" w:eastAsia="Calibri" w:hAnsi="Arial Narrow"/>
                <w:sz w:val="20"/>
                <w:shd w:val="clear" w:color="auto" w:fill="FFFFFF"/>
              </w:rPr>
            </w:pPr>
            <w:r w:rsidRPr="007773AC">
              <w:rPr>
                <w:rFonts w:ascii="Arial Narrow" w:eastAsia="Calibri" w:hAnsi="Arial Narrow"/>
                <w:sz w:val="20"/>
                <w:shd w:val="clear" w:color="auto" w:fill="FFFFFF"/>
              </w:rPr>
              <w:t>November 2017</w:t>
            </w:r>
          </w:p>
          <w:p w:rsidR="00D762A4" w:rsidRPr="007773AC" w:rsidRDefault="00D762A4" w:rsidP="00D762A4">
            <w:pPr>
              <w:rPr>
                <w:rFonts w:ascii="Arial Narrow" w:eastAsia="Calibri" w:hAnsi="Arial Narrow"/>
                <w:sz w:val="20"/>
                <w:shd w:val="clear" w:color="auto" w:fill="FFFFFF"/>
              </w:rPr>
            </w:pPr>
          </w:p>
        </w:tc>
        <w:tc>
          <w:tcPr>
            <w:tcW w:w="0" w:type="auto"/>
          </w:tcPr>
          <w:p w:rsidR="00D762A4" w:rsidRPr="008E526B" w:rsidRDefault="00D762A4" w:rsidP="00D762A4">
            <w:pPr>
              <w:rPr>
                <w:rFonts w:ascii="Arial Narrow" w:eastAsia="Calibri" w:hAnsi="Arial Narrow"/>
                <w:sz w:val="20"/>
                <w:shd w:val="clear" w:color="auto" w:fill="FFFFFF"/>
              </w:rPr>
            </w:pPr>
            <w:r w:rsidRPr="008E526B">
              <w:rPr>
                <w:rFonts w:ascii="Arial Narrow" w:eastAsia="Calibri" w:hAnsi="Arial Narrow"/>
                <w:sz w:val="20"/>
                <w:shd w:val="clear" w:color="auto" w:fill="FFFFFF"/>
              </w:rPr>
              <w:t>March 2018</w:t>
            </w:r>
          </w:p>
          <w:p w:rsidR="00D762A4" w:rsidRPr="008E526B" w:rsidRDefault="00D762A4" w:rsidP="00D762A4">
            <w:pPr>
              <w:rPr>
                <w:rFonts w:ascii="Arial Narrow" w:eastAsia="Calibri" w:hAnsi="Arial Narrow"/>
                <w:b/>
                <w:color w:val="222222"/>
                <w:sz w:val="20"/>
                <w:shd w:val="clear" w:color="auto" w:fill="FFFFFF"/>
              </w:rPr>
            </w:pPr>
            <w:r w:rsidRPr="008E526B">
              <w:rPr>
                <w:rFonts w:ascii="Arial Narrow" w:eastAsia="Calibri" w:hAnsi="Arial Narrow"/>
                <w:b/>
                <w:sz w:val="20"/>
                <w:shd w:val="clear" w:color="auto" w:fill="FFFFFF"/>
              </w:rPr>
              <w:t>July 2018</w:t>
            </w:r>
          </w:p>
        </w:tc>
        <w:tc>
          <w:tcPr>
            <w:tcW w:w="0" w:type="auto"/>
          </w:tcPr>
          <w:p w:rsidR="00D762A4" w:rsidRPr="008E526B" w:rsidRDefault="00D762A4" w:rsidP="00D762A4">
            <w:pPr>
              <w:rPr>
                <w:rFonts w:ascii="Arial Narrow" w:eastAsia="Calibri" w:hAnsi="Arial Narrow"/>
                <w:sz w:val="20"/>
                <w:shd w:val="clear" w:color="auto" w:fill="FFFFFF"/>
              </w:rPr>
            </w:pPr>
            <w:r w:rsidRPr="008E526B">
              <w:rPr>
                <w:rFonts w:ascii="Arial Narrow" w:eastAsia="Calibri" w:hAnsi="Arial Narrow"/>
                <w:sz w:val="20"/>
                <w:shd w:val="clear" w:color="auto" w:fill="FFFFFF"/>
              </w:rPr>
              <w:t>November 2018</w:t>
            </w:r>
          </w:p>
        </w:tc>
      </w:tr>
      <w:tr w:rsidR="00D762A4" w:rsidRPr="008E526B" w:rsidTr="00D762A4">
        <w:tc>
          <w:tcPr>
            <w:tcW w:w="0" w:type="auto"/>
          </w:tcPr>
          <w:p w:rsidR="00D762A4" w:rsidRPr="007773AC" w:rsidRDefault="00D762A4" w:rsidP="00D762A4">
            <w:pPr>
              <w:rPr>
                <w:rFonts w:ascii="Arial Narrow" w:eastAsia="Calibri" w:hAnsi="Arial Narrow"/>
                <w:sz w:val="20"/>
              </w:rPr>
            </w:pPr>
            <w:r w:rsidRPr="007773AC">
              <w:rPr>
                <w:rFonts w:ascii="Arial Narrow" w:eastAsia="Calibri" w:hAnsi="Arial Narrow"/>
                <w:sz w:val="20"/>
              </w:rPr>
              <w:t xml:space="preserve">In combination with </w:t>
            </w:r>
            <w:proofErr w:type="spellStart"/>
            <w:r w:rsidRPr="007773AC">
              <w:rPr>
                <w:rFonts w:ascii="Arial Narrow" w:eastAsia="Calibri" w:hAnsi="Arial Narrow"/>
                <w:sz w:val="20"/>
              </w:rPr>
              <w:t>pemetrexed</w:t>
            </w:r>
            <w:proofErr w:type="spellEnd"/>
            <w:r w:rsidRPr="007773AC">
              <w:rPr>
                <w:rFonts w:ascii="Arial Narrow" w:eastAsia="Calibri" w:hAnsi="Arial Narrow"/>
                <w:sz w:val="20"/>
              </w:rPr>
              <w:t xml:space="preserve"> and platinum chemotherapy, is indicated for the first-line treatment of patients with metastatic non-squamous NSCLC</w:t>
            </w:r>
          </w:p>
        </w:tc>
        <w:tc>
          <w:tcPr>
            <w:tcW w:w="0" w:type="auto"/>
          </w:tcPr>
          <w:p w:rsidR="00D762A4" w:rsidRPr="007773AC" w:rsidRDefault="00D762A4" w:rsidP="00D762A4">
            <w:pPr>
              <w:rPr>
                <w:rFonts w:ascii="Arial Narrow" w:eastAsia="Calibri" w:hAnsi="Arial Narrow"/>
                <w:sz w:val="20"/>
              </w:rPr>
            </w:pPr>
            <w:r w:rsidRPr="007773AC">
              <w:rPr>
                <w:rFonts w:ascii="Arial Narrow" w:eastAsia="Calibri" w:hAnsi="Arial Narrow"/>
                <w:sz w:val="20"/>
              </w:rPr>
              <w:t>2017</w:t>
            </w:r>
          </w:p>
        </w:tc>
        <w:tc>
          <w:tcPr>
            <w:tcW w:w="0" w:type="auto"/>
          </w:tcPr>
          <w:p w:rsidR="00D762A4" w:rsidRPr="007773AC" w:rsidRDefault="00D762A4" w:rsidP="00D762A4">
            <w:pPr>
              <w:rPr>
                <w:rFonts w:ascii="Arial Narrow" w:eastAsia="Calibri" w:hAnsi="Arial Narrow"/>
                <w:sz w:val="20"/>
              </w:rPr>
            </w:pPr>
            <w:r>
              <w:rPr>
                <w:rFonts w:ascii="Arial Narrow" w:eastAsia="Calibri" w:hAnsi="Arial Narrow"/>
                <w:sz w:val="20"/>
              </w:rPr>
              <w:t>8</w:t>
            </w:r>
            <w:r w:rsidRPr="007773AC">
              <w:rPr>
                <w:rFonts w:ascii="Arial Narrow" w:eastAsia="Calibri" w:hAnsi="Arial Narrow"/>
                <w:sz w:val="20"/>
              </w:rPr>
              <w:t xml:space="preserve"> June 2018</w:t>
            </w:r>
          </w:p>
        </w:tc>
        <w:tc>
          <w:tcPr>
            <w:tcW w:w="0" w:type="auto"/>
          </w:tcPr>
          <w:p w:rsidR="00D762A4" w:rsidRPr="007773AC" w:rsidRDefault="00D762A4" w:rsidP="00D762A4">
            <w:pPr>
              <w:rPr>
                <w:rFonts w:ascii="Arial Narrow" w:eastAsia="Calibri" w:hAnsi="Arial Narrow"/>
                <w:color w:val="222222"/>
                <w:sz w:val="20"/>
                <w:shd w:val="clear" w:color="auto" w:fill="FFFFFF"/>
              </w:rPr>
            </w:pPr>
            <w:r w:rsidRPr="007773AC">
              <w:rPr>
                <w:rFonts w:ascii="Arial Narrow" w:eastAsia="Calibri" w:hAnsi="Arial Narrow"/>
                <w:sz w:val="20"/>
                <w:shd w:val="clear" w:color="auto" w:fill="FFFFFF"/>
              </w:rPr>
              <w:t>November 2018</w:t>
            </w:r>
          </w:p>
        </w:tc>
        <w:tc>
          <w:tcPr>
            <w:tcW w:w="0" w:type="auto"/>
            <w:shd w:val="clear" w:color="auto" w:fill="auto"/>
          </w:tcPr>
          <w:p w:rsidR="00D762A4" w:rsidRPr="007773AC" w:rsidRDefault="00D762A4" w:rsidP="00D762A4">
            <w:pPr>
              <w:rPr>
                <w:rFonts w:ascii="Arial Narrow" w:eastAsia="Calibri" w:hAnsi="Arial Narrow"/>
                <w:sz w:val="20"/>
                <w:shd w:val="clear" w:color="auto" w:fill="FFFFFF"/>
              </w:rPr>
            </w:pPr>
          </w:p>
        </w:tc>
        <w:tc>
          <w:tcPr>
            <w:tcW w:w="0" w:type="auto"/>
            <w:shd w:val="clear" w:color="auto" w:fill="auto"/>
          </w:tcPr>
          <w:p w:rsidR="00D762A4" w:rsidRPr="008E526B" w:rsidRDefault="00D762A4" w:rsidP="00D762A4">
            <w:pPr>
              <w:rPr>
                <w:rFonts w:ascii="Arial Narrow" w:eastAsia="Calibri" w:hAnsi="Arial Narrow"/>
                <w:sz w:val="20"/>
                <w:shd w:val="clear" w:color="auto" w:fill="FFFFFF"/>
              </w:rPr>
            </w:pPr>
          </w:p>
        </w:tc>
        <w:tc>
          <w:tcPr>
            <w:tcW w:w="0" w:type="auto"/>
            <w:shd w:val="clear" w:color="auto" w:fill="auto"/>
          </w:tcPr>
          <w:p w:rsidR="00D762A4" w:rsidRPr="008E526B" w:rsidRDefault="00D762A4" w:rsidP="00D762A4">
            <w:pPr>
              <w:rPr>
                <w:rFonts w:ascii="Arial Narrow" w:eastAsia="Calibri" w:hAnsi="Arial Narrow"/>
                <w:sz w:val="20"/>
                <w:shd w:val="clear" w:color="auto" w:fill="FFFFFF"/>
              </w:rPr>
            </w:pPr>
          </w:p>
        </w:tc>
      </w:tr>
      <w:tr w:rsidR="00D762A4" w:rsidRPr="008E526B" w:rsidTr="00D762A4">
        <w:tc>
          <w:tcPr>
            <w:tcW w:w="0" w:type="auto"/>
          </w:tcPr>
          <w:p w:rsidR="00D762A4" w:rsidRPr="007773AC" w:rsidRDefault="00D762A4" w:rsidP="00D762A4">
            <w:pPr>
              <w:rPr>
                <w:rFonts w:ascii="Arial Narrow" w:eastAsia="Calibri" w:hAnsi="Arial Narrow"/>
                <w:sz w:val="20"/>
              </w:rPr>
            </w:pPr>
            <w:r w:rsidRPr="007773AC">
              <w:rPr>
                <w:rFonts w:ascii="Arial Narrow" w:eastAsia="Calibri" w:hAnsi="Arial Narrow"/>
                <w:sz w:val="20"/>
              </w:rPr>
              <w:t xml:space="preserve">Treatment of patients with advanced NSCLC whose tumours express PD-L1 with a greater than or equal to 1% TPS as determined by a validated test and who have received platinum-containing chemotherapy. </w:t>
            </w:r>
          </w:p>
        </w:tc>
        <w:tc>
          <w:tcPr>
            <w:tcW w:w="0" w:type="auto"/>
          </w:tcPr>
          <w:p w:rsidR="00D762A4" w:rsidRPr="007773AC" w:rsidRDefault="00D762A4" w:rsidP="00D762A4">
            <w:pPr>
              <w:rPr>
                <w:rFonts w:ascii="Arial Narrow" w:eastAsia="Calibri" w:hAnsi="Arial Narrow"/>
                <w:sz w:val="20"/>
              </w:rPr>
            </w:pPr>
            <w:r w:rsidRPr="007773AC">
              <w:rPr>
                <w:rFonts w:ascii="Arial Narrow" w:eastAsia="Calibri" w:hAnsi="Arial Narrow"/>
                <w:sz w:val="20"/>
              </w:rPr>
              <w:t>2016</w:t>
            </w:r>
          </w:p>
        </w:tc>
        <w:tc>
          <w:tcPr>
            <w:tcW w:w="0" w:type="auto"/>
          </w:tcPr>
          <w:p w:rsidR="00D762A4" w:rsidRPr="007773AC" w:rsidRDefault="00D762A4" w:rsidP="00D762A4">
            <w:pPr>
              <w:rPr>
                <w:rFonts w:ascii="Arial Narrow" w:eastAsia="Calibri" w:hAnsi="Arial Narrow"/>
                <w:sz w:val="20"/>
              </w:rPr>
            </w:pPr>
            <w:r w:rsidRPr="007773AC">
              <w:rPr>
                <w:rFonts w:ascii="Arial Narrow" w:eastAsia="Calibri" w:hAnsi="Arial Narrow"/>
                <w:sz w:val="20"/>
              </w:rPr>
              <w:t>3 March 2017</w:t>
            </w:r>
          </w:p>
        </w:tc>
        <w:tc>
          <w:tcPr>
            <w:tcW w:w="0" w:type="auto"/>
          </w:tcPr>
          <w:p w:rsidR="00D762A4" w:rsidRPr="007773AC" w:rsidRDefault="00D762A4" w:rsidP="00D762A4">
            <w:pPr>
              <w:rPr>
                <w:rFonts w:ascii="Arial Narrow" w:eastAsia="Calibri" w:hAnsi="Arial Narrow"/>
                <w:sz w:val="20"/>
                <w:shd w:val="clear" w:color="auto" w:fill="FFFFFF"/>
              </w:rPr>
            </w:pPr>
            <w:r w:rsidRPr="007773AC">
              <w:rPr>
                <w:rFonts w:ascii="Arial Narrow" w:eastAsia="Calibri" w:hAnsi="Arial Narrow"/>
                <w:sz w:val="20"/>
                <w:shd w:val="clear" w:color="auto" w:fill="FFFFFF"/>
              </w:rPr>
              <w:t>November 2016</w:t>
            </w:r>
          </w:p>
        </w:tc>
        <w:tc>
          <w:tcPr>
            <w:tcW w:w="0" w:type="auto"/>
          </w:tcPr>
          <w:p w:rsidR="00D762A4" w:rsidRPr="007773AC" w:rsidRDefault="00D762A4" w:rsidP="00D762A4">
            <w:pPr>
              <w:rPr>
                <w:rFonts w:ascii="Arial Narrow" w:eastAsia="Calibri" w:hAnsi="Arial Narrow"/>
                <w:sz w:val="20"/>
                <w:shd w:val="clear" w:color="auto" w:fill="FFFFFF"/>
              </w:rPr>
            </w:pPr>
          </w:p>
        </w:tc>
        <w:tc>
          <w:tcPr>
            <w:tcW w:w="0" w:type="auto"/>
          </w:tcPr>
          <w:p w:rsidR="00D762A4" w:rsidRPr="008E526B" w:rsidRDefault="00D762A4" w:rsidP="00D762A4">
            <w:pPr>
              <w:rPr>
                <w:rFonts w:ascii="Arial Narrow" w:eastAsia="Calibri" w:hAnsi="Arial Narrow"/>
                <w:sz w:val="20"/>
                <w:shd w:val="clear" w:color="auto" w:fill="FFFFFF"/>
              </w:rPr>
            </w:pPr>
          </w:p>
        </w:tc>
        <w:tc>
          <w:tcPr>
            <w:tcW w:w="0" w:type="auto"/>
          </w:tcPr>
          <w:p w:rsidR="00D762A4" w:rsidRPr="008E526B" w:rsidRDefault="00D762A4" w:rsidP="00D762A4">
            <w:pPr>
              <w:rPr>
                <w:rFonts w:ascii="Arial Narrow" w:eastAsia="Calibri" w:hAnsi="Arial Narrow"/>
                <w:sz w:val="20"/>
                <w:shd w:val="clear" w:color="auto" w:fill="FFFFFF"/>
              </w:rPr>
            </w:pPr>
          </w:p>
        </w:tc>
      </w:tr>
      <w:tr w:rsidR="00D762A4" w:rsidRPr="008E526B" w:rsidTr="00D762A4">
        <w:tc>
          <w:tcPr>
            <w:tcW w:w="0" w:type="auto"/>
            <w:gridSpan w:val="7"/>
            <w:shd w:val="clear" w:color="auto" w:fill="E5DFEC" w:themeFill="accent4" w:themeFillTint="33"/>
          </w:tcPr>
          <w:p w:rsidR="00D762A4" w:rsidRPr="007773AC" w:rsidRDefault="00D762A4" w:rsidP="00D762A4">
            <w:pPr>
              <w:rPr>
                <w:rFonts w:ascii="Arial Narrow" w:eastAsia="Calibri" w:hAnsi="Arial Narrow"/>
                <w:sz w:val="20"/>
                <w:shd w:val="clear" w:color="auto" w:fill="FFFFFF"/>
              </w:rPr>
            </w:pPr>
            <w:r w:rsidRPr="007773AC">
              <w:rPr>
                <w:rFonts w:ascii="Arial Narrow" w:eastAsia="Calibri" w:hAnsi="Arial Narrow"/>
                <w:sz w:val="20"/>
              </w:rPr>
              <w:t>ATEZOLIZUMAB</w:t>
            </w:r>
          </w:p>
        </w:tc>
      </w:tr>
      <w:tr w:rsidR="00D762A4" w:rsidRPr="008E526B" w:rsidTr="00D762A4">
        <w:tc>
          <w:tcPr>
            <w:tcW w:w="0" w:type="auto"/>
          </w:tcPr>
          <w:p w:rsidR="00D762A4" w:rsidRPr="007773AC" w:rsidRDefault="00D762A4" w:rsidP="00D762A4">
            <w:pPr>
              <w:rPr>
                <w:rFonts w:ascii="Arial Narrow" w:eastAsia="Calibri" w:hAnsi="Arial Narrow"/>
                <w:sz w:val="20"/>
              </w:rPr>
            </w:pPr>
            <w:r w:rsidRPr="007773AC">
              <w:rPr>
                <w:rFonts w:ascii="Arial Narrow" w:eastAsia="Calibri" w:hAnsi="Arial Narrow"/>
                <w:sz w:val="20"/>
              </w:rPr>
              <w:t>Locally advanced or metastatic NSCLC with progression on or after prior chemotherapy.</w:t>
            </w:r>
          </w:p>
        </w:tc>
        <w:tc>
          <w:tcPr>
            <w:tcW w:w="0" w:type="auto"/>
          </w:tcPr>
          <w:p w:rsidR="00D762A4" w:rsidRPr="007773AC" w:rsidRDefault="00D762A4" w:rsidP="00D762A4">
            <w:pPr>
              <w:rPr>
                <w:rFonts w:ascii="Arial Narrow" w:eastAsia="Calibri" w:hAnsi="Arial Narrow"/>
                <w:sz w:val="20"/>
              </w:rPr>
            </w:pPr>
            <w:r w:rsidRPr="007773AC">
              <w:rPr>
                <w:rFonts w:ascii="Arial Narrow" w:eastAsia="Calibri" w:hAnsi="Arial Narrow"/>
                <w:sz w:val="20"/>
              </w:rPr>
              <w:t>2016</w:t>
            </w:r>
          </w:p>
        </w:tc>
        <w:tc>
          <w:tcPr>
            <w:tcW w:w="0" w:type="auto"/>
          </w:tcPr>
          <w:p w:rsidR="00D762A4" w:rsidRPr="007773AC" w:rsidRDefault="00D762A4" w:rsidP="00D762A4">
            <w:pPr>
              <w:rPr>
                <w:rFonts w:ascii="Arial Narrow" w:eastAsia="Calibri" w:hAnsi="Arial Narrow"/>
                <w:b/>
                <w:color w:val="222222"/>
                <w:sz w:val="20"/>
                <w:shd w:val="clear" w:color="auto" w:fill="FFFFFF"/>
              </w:rPr>
            </w:pPr>
            <w:r w:rsidRPr="007773AC">
              <w:rPr>
                <w:rFonts w:ascii="Arial Narrow" w:eastAsia="Calibri" w:hAnsi="Arial Narrow"/>
                <w:sz w:val="20"/>
              </w:rPr>
              <w:t>26 July 2017</w:t>
            </w:r>
          </w:p>
        </w:tc>
        <w:tc>
          <w:tcPr>
            <w:tcW w:w="0" w:type="auto"/>
          </w:tcPr>
          <w:p w:rsidR="00D762A4" w:rsidRPr="007773AC" w:rsidRDefault="00D762A4" w:rsidP="00D762A4">
            <w:pPr>
              <w:rPr>
                <w:rFonts w:ascii="Arial Narrow" w:eastAsia="Calibri" w:hAnsi="Arial Narrow"/>
                <w:b/>
                <w:color w:val="222222"/>
                <w:sz w:val="20"/>
                <w:shd w:val="clear" w:color="auto" w:fill="FFFFFF"/>
              </w:rPr>
            </w:pPr>
            <w:r w:rsidRPr="007773AC">
              <w:rPr>
                <w:rFonts w:ascii="Arial Narrow" w:eastAsia="Calibri" w:hAnsi="Arial Narrow"/>
                <w:b/>
                <w:sz w:val="20"/>
              </w:rPr>
              <w:t>November 2017</w:t>
            </w:r>
          </w:p>
        </w:tc>
        <w:tc>
          <w:tcPr>
            <w:tcW w:w="0" w:type="auto"/>
          </w:tcPr>
          <w:p w:rsidR="00D762A4" w:rsidRPr="007773AC" w:rsidRDefault="00D762A4" w:rsidP="00D762A4">
            <w:pPr>
              <w:rPr>
                <w:rFonts w:ascii="Arial Narrow" w:eastAsia="Calibri" w:hAnsi="Arial Narrow"/>
                <w:sz w:val="20"/>
                <w:shd w:val="clear" w:color="auto" w:fill="FFFFFF"/>
              </w:rPr>
            </w:pPr>
          </w:p>
        </w:tc>
        <w:tc>
          <w:tcPr>
            <w:tcW w:w="0" w:type="auto"/>
          </w:tcPr>
          <w:p w:rsidR="00D762A4" w:rsidRPr="008E526B" w:rsidRDefault="00D762A4" w:rsidP="00D762A4">
            <w:pPr>
              <w:rPr>
                <w:rFonts w:ascii="Arial Narrow" w:eastAsia="Calibri" w:hAnsi="Arial Narrow"/>
                <w:sz w:val="20"/>
                <w:shd w:val="clear" w:color="auto" w:fill="FFFFFF"/>
              </w:rPr>
            </w:pPr>
          </w:p>
        </w:tc>
        <w:tc>
          <w:tcPr>
            <w:tcW w:w="0" w:type="auto"/>
          </w:tcPr>
          <w:p w:rsidR="00D762A4" w:rsidRPr="008E526B" w:rsidRDefault="00D762A4" w:rsidP="00D762A4">
            <w:pPr>
              <w:rPr>
                <w:rFonts w:ascii="Arial Narrow" w:eastAsia="Calibri" w:hAnsi="Arial Narrow"/>
                <w:sz w:val="20"/>
                <w:shd w:val="clear" w:color="auto" w:fill="FFFFFF"/>
              </w:rPr>
            </w:pPr>
            <w:r w:rsidRPr="008E526B">
              <w:rPr>
                <w:rFonts w:ascii="Arial Narrow" w:eastAsia="Calibri" w:hAnsi="Arial Narrow"/>
                <w:sz w:val="20"/>
                <w:shd w:val="clear" w:color="auto" w:fill="FFFFFF"/>
              </w:rPr>
              <w:t>April 2018</w:t>
            </w:r>
          </w:p>
        </w:tc>
      </w:tr>
      <w:tr w:rsidR="00D762A4" w:rsidRPr="008E526B" w:rsidTr="00D762A4">
        <w:tc>
          <w:tcPr>
            <w:tcW w:w="0" w:type="auto"/>
          </w:tcPr>
          <w:p w:rsidR="00D762A4" w:rsidRPr="007773AC" w:rsidRDefault="00D762A4" w:rsidP="00D762A4">
            <w:pPr>
              <w:rPr>
                <w:rFonts w:ascii="Arial Narrow" w:eastAsia="Calibri" w:hAnsi="Arial Narrow"/>
                <w:sz w:val="20"/>
              </w:rPr>
            </w:pPr>
            <w:r w:rsidRPr="007773AC">
              <w:rPr>
                <w:rFonts w:ascii="Arial Narrow" w:eastAsia="Calibri" w:hAnsi="Arial Narrow"/>
                <w:sz w:val="20"/>
              </w:rPr>
              <w:t>In combination with paclitaxel and carboplatin, with or without bevacizumab, for the first-line treatment of patients with metastatic non-squamous NSCLC</w:t>
            </w:r>
          </w:p>
        </w:tc>
        <w:tc>
          <w:tcPr>
            <w:tcW w:w="0" w:type="auto"/>
          </w:tcPr>
          <w:p w:rsidR="00D762A4" w:rsidRPr="00D762A4" w:rsidRDefault="00D762A4" w:rsidP="00D762A4">
            <w:pPr>
              <w:rPr>
                <w:rFonts w:ascii="Arial Narrow" w:eastAsia="Calibri" w:hAnsi="Arial Narrow"/>
                <w:sz w:val="20"/>
                <w:highlight w:val="black"/>
              </w:rPr>
            </w:pPr>
            <w:r>
              <w:rPr>
                <w:rFonts w:ascii="Arial Narrow" w:eastAsia="Calibri" w:hAnsi="Arial Narrow"/>
                <w:noProof/>
                <w:color w:val="000000"/>
                <w:sz w:val="20"/>
                <w:highlight w:val="black"/>
              </w:rPr>
              <w:t>''''''''''''</w:t>
            </w:r>
          </w:p>
        </w:tc>
        <w:tc>
          <w:tcPr>
            <w:tcW w:w="0" w:type="auto"/>
          </w:tcPr>
          <w:p w:rsidR="00D762A4" w:rsidRPr="007773AC" w:rsidRDefault="00D762A4" w:rsidP="00D762A4">
            <w:pPr>
              <w:rPr>
                <w:rFonts w:ascii="Arial Narrow" w:eastAsia="Calibri" w:hAnsi="Arial Narrow"/>
                <w:sz w:val="20"/>
              </w:rPr>
            </w:pPr>
          </w:p>
        </w:tc>
        <w:tc>
          <w:tcPr>
            <w:tcW w:w="0" w:type="auto"/>
          </w:tcPr>
          <w:p w:rsidR="00D762A4" w:rsidRPr="007773AC" w:rsidRDefault="00D762A4" w:rsidP="00D762A4">
            <w:pPr>
              <w:rPr>
                <w:rFonts w:ascii="Arial Narrow" w:eastAsia="Calibri" w:hAnsi="Arial Narrow"/>
                <w:sz w:val="20"/>
              </w:rPr>
            </w:pPr>
            <w:r w:rsidRPr="007773AC">
              <w:rPr>
                <w:rFonts w:ascii="Arial Narrow" w:eastAsia="Calibri" w:hAnsi="Arial Narrow"/>
                <w:sz w:val="20"/>
              </w:rPr>
              <w:t>March 2019</w:t>
            </w:r>
          </w:p>
        </w:tc>
        <w:tc>
          <w:tcPr>
            <w:tcW w:w="0" w:type="auto"/>
          </w:tcPr>
          <w:p w:rsidR="00D762A4" w:rsidRPr="007773AC" w:rsidRDefault="00D762A4" w:rsidP="00D762A4">
            <w:pPr>
              <w:rPr>
                <w:rFonts w:ascii="Arial Narrow" w:eastAsia="Calibri" w:hAnsi="Arial Narrow"/>
                <w:sz w:val="20"/>
                <w:shd w:val="clear" w:color="auto" w:fill="FFFFFF"/>
              </w:rPr>
            </w:pPr>
          </w:p>
        </w:tc>
        <w:tc>
          <w:tcPr>
            <w:tcW w:w="0" w:type="auto"/>
          </w:tcPr>
          <w:p w:rsidR="00D762A4" w:rsidRPr="008E526B" w:rsidRDefault="00D762A4" w:rsidP="00D762A4">
            <w:pPr>
              <w:rPr>
                <w:rFonts w:ascii="Arial Narrow" w:eastAsia="Calibri" w:hAnsi="Arial Narrow"/>
                <w:sz w:val="20"/>
                <w:shd w:val="clear" w:color="auto" w:fill="FFFFFF"/>
              </w:rPr>
            </w:pPr>
          </w:p>
        </w:tc>
        <w:tc>
          <w:tcPr>
            <w:tcW w:w="0" w:type="auto"/>
          </w:tcPr>
          <w:p w:rsidR="00D762A4" w:rsidRPr="008E526B" w:rsidRDefault="00D762A4" w:rsidP="00D762A4">
            <w:pPr>
              <w:rPr>
                <w:rFonts w:ascii="Arial Narrow" w:eastAsia="Calibri" w:hAnsi="Arial Narrow"/>
                <w:sz w:val="20"/>
                <w:shd w:val="clear" w:color="auto" w:fill="FFFFFF"/>
              </w:rPr>
            </w:pPr>
          </w:p>
        </w:tc>
      </w:tr>
      <w:tr w:rsidR="00D762A4" w:rsidRPr="008E526B" w:rsidTr="00D762A4">
        <w:tc>
          <w:tcPr>
            <w:tcW w:w="0" w:type="auto"/>
            <w:gridSpan w:val="7"/>
            <w:shd w:val="clear" w:color="auto" w:fill="B6DDE8" w:themeFill="accent5" w:themeFillTint="66"/>
          </w:tcPr>
          <w:p w:rsidR="00D762A4" w:rsidRPr="007773AC" w:rsidRDefault="00D762A4" w:rsidP="00D762A4">
            <w:pPr>
              <w:rPr>
                <w:rFonts w:ascii="Arial Narrow" w:eastAsia="Calibri" w:hAnsi="Arial Narrow"/>
                <w:color w:val="222222"/>
                <w:sz w:val="20"/>
                <w:shd w:val="clear" w:color="auto" w:fill="FFFFFF"/>
              </w:rPr>
            </w:pPr>
            <w:r w:rsidRPr="007773AC">
              <w:rPr>
                <w:rFonts w:ascii="Arial Narrow" w:eastAsia="Calibri" w:hAnsi="Arial Narrow"/>
                <w:sz w:val="20"/>
              </w:rPr>
              <w:t>DURVALUMAB</w:t>
            </w:r>
          </w:p>
        </w:tc>
      </w:tr>
      <w:tr w:rsidR="00D762A4" w:rsidRPr="008E526B" w:rsidTr="00D762A4">
        <w:tc>
          <w:tcPr>
            <w:tcW w:w="0" w:type="auto"/>
          </w:tcPr>
          <w:p w:rsidR="00D762A4" w:rsidRPr="007773AC" w:rsidRDefault="00D762A4" w:rsidP="00D762A4">
            <w:pPr>
              <w:rPr>
                <w:rFonts w:ascii="Arial Narrow" w:eastAsia="Calibri" w:hAnsi="Arial Narrow"/>
                <w:sz w:val="20"/>
              </w:rPr>
            </w:pPr>
            <w:r w:rsidRPr="007773AC">
              <w:rPr>
                <w:rFonts w:ascii="Arial Narrow" w:eastAsia="Calibri" w:hAnsi="Arial Narrow"/>
                <w:sz w:val="20"/>
              </w:rPr>
              <w:t>Treatment of patients with locally advanced, unresectable NSCLC whose disease has not progressed following platinum-based chemoradiation therapy.</w:t>
            </w:r>
          </w:p>
        </w:tc>
        <w:tc>
          <w:tcPr>
            <w:tcW w:w="0" w:type="auto"/>
          </w:tcPr>
          <w:p w:rsidR="00D762A4" w:rsidRPr="007773AC" w:rsidRDefault="00D762A4" w:rsidP="00D762A4">
            <w:pPr>
              <w:rPr>
                <w:rFonts w:ascii="Arial Narrow" w:eastAsia="Calibri" w:hAnsi="Arial Narrow"/>
                <w:sz w:val="20"/>
              </w:rPr>
            </w:pPr>
            <w:r w:rsidRPr="007773AC">
              <w:rPr>
                <w:rFonts w:ascii="Arial Narrow" w:eastAsia="Calibri" w:hAnsi="Arial Narrow"/>
                <w:sz w:val="20"/>
              </w:rPr>
              <w:t>2017</w:t>
            </w:r>
          </w:p>
        </w:tc>
        <w:tc>
          <w:tcPr>
            <w:tcW w:w="0" w:type="auto"/>
          </w:tcPr>
          <w:p w:rsidR="00D762A4" w:rsidRPr="007773AC" w:rsidRDefault="00D762A4" w:rsidP="00D762A4">
            <w:pPr>
              <w:rPr>
                <w:rFonts w:ascii="Arial Narrow" w:eastAsia="Calibri" w:hAnsi="Arial Narrow"/>
                <w:b/>
                <w:color w:val="222222"/>
                <w:sz w:val="20"/>
                <w:shd w:val="clear" w:color="auto" w:fill="FFFFFF"/>
              </w:rPr>
            </w:pPr>
            <w:r w:rsidRPr="007773AC">
              <w:rPr>
                <w:rFonts w:ascii="Arial Narrow" w:eastAsia="Calibri" w:hAnsi="Arial Narrow"/>
                <w:sz w:val="20"/>
              </w:rPr>
              <w:t>22 October 2018</w:t>
            </w:r>
          </w:p>
        </w:tc>
        <w:tc>
          <w:tcPr>
            <w:tcW w:w="0" w:type="auto"/>
          </w:tcPr>
          <w:p w:rsidR="00D762A4" w:rsidRPr="007773AC" w:rsidRDefault="00D762A4" w:rsidP="00D762A4">
            <w:pPr>
              <w:rPr>
                <w:rFonts w:ascii="Arial Narrow" w:eastAsia="Calibri" w:hAnsi="Arial Narrow"/>
                <w:b/>
                <w:color w:val="222222"/>
                <w:sz w:val="20"/>
                <w:shd w:val="clear" w:color="auto" w:fill="FFFFFF"/>
              </w:rPr>
            </w:pPr>
            <w:r w:rsidRPr="007773AC">
              <w:rPr>
                <w:rFonts w:ascii="Arial Narrow" w:eastAsia="Calibri" w:hAnsi="Arial Narrow"/>
                <w:sz w:val="20"/>
              </w:rPr>
              <w:t>November 2018</w:t>
            </w:r>
          </w:p>
        </w:tc>
        <w:tc>
          <w:tcPr>
            <w:tcW w:w="0" w:type="auto"/>
          </w:tcPr>
          <w:p w:rsidR="00D762A4" w:rsidRPr="007773AC" w:rsidRDefault="00D762A4" w:rsidP="00D762A4">
            <w:pPr>
              <w:rPr>
                <w:rFonts w:ascii="Arial Narrow" w:eastAsia="Calibri" w:hAnsi="Arial Narrow"/>
                <w:sz w:val="20"/>
                <w:shd w:val="clear" w:color="auto" w:fill="FFFFFF"/>
              </w:rPr>
            </w:pPr>
          </w:p>
        </w:tc>
        <w:tc>
          <w:tcPr>
            <w:tcW w:w="0" w:type="auto"/>
          </w:tcPr>
          <w:p w:rsidR="00D762A4" w:rsidRPr="008E526B" w:rsidRDefault="00D762A4" w:rsidP="00D762A4">
            <w:pPr>
              <w:rPr>
                <w:rFonts w:ascii="Arial Narrow" w:eastAsia="Calibri" w:hAnsi="Arial Narrow"/>
                <w:sz w:val="20"/>
                <w:shd w:val="clear" w:color="auto" w:fill="FFFFFF"/>
              </w:rPr>
            </w:pPr>
          </w:p>
        </w:tc>
        <w:tc>
          <w:tcPr>
            <w:tcW w:w="0" w:type="auto"/>
          </w:tcPr>
          <w:p w:rsidR="00D762A4" w:rsidRPr="008E526B" w:rsidRDefault="00D762A4" w:rsidP="00D762A4">
            <w:pPr>
              <w:rPr>
                <w:rFonts w:ascii="Arial Narrow" w:eastAsia="Calibri" w:hAnsi="Arial Narrow"/>
                <w:sz w:val="20"/>
                <w:shd w:val="clear" w:color="auto" w:fill="FFFFFF"/>
              </w:rPr>
            </w:pPr>
          </w:p>
        </w:tc>
      </w:tr>
    </w:tbl>
    <w:p w:rsidR="00D5205A" w:rsidRPr="008E526B" w:rsidRDefault="008E526B" w:rsidP="00D5205A">
      <w:r>
        <w:t>A</w:t>
      </w:r>
      <w:r w:rsidR="00D5205A" w:rsidRPr="008E526B">
        <w:t xml:space="preserve"> summary of the patient number estimates for NSCLC in Australia, based on assumptions previously accepted by the PBAC</w:t>
      </w:r>
      <w:r>
        <w:t xml:space="preserve"> is provided in Table 2</w:t>
      </w:r>
      <w:r w:rsidR="00ED4983">
        <w:t>.</w:t>
      </w:r>
      <w:r w:rsidR="00D5205A" w:rsidRPr="008E526B">
        <w:t xml:space="preserve"> </w:t>
      </w:r>
    </w:p>
    <w:p w:rsidR="00427B91" w:rsidRPr="00926EEC" w:rsidRDefault="00427B91" w:rsidP="00926EEC">
      <w:pPr>
        <w:rPr>
          <w:rFonts w:ascii="Arial Narrow" w:hAnsi="Arial Narrow"/>
          <w:b/>
          <w:sz w:val="20"/>
        </w:rPr>
      </w:pPr>
      <w:r w:rsidRPr="00926EEC">
        <w:rPr>
          <w:rFonts w:ascii="Arial Narrow" w:hAnsi="Arial Narrow"/>
          <w:b/>
          <w:sz w:val="20"/>
        </w:rPr>
        <w:t xml:space="preserve">Table </w:t>
      </w:r>
      <w:r w:rsidR="00926EEC">
        <w:rPr>
          <w:rFonts w:ascii="Arial Narrow" w:hAnsi="Arial Narrow"/>
          <w:b/>
          <w:noProof/>
          <w:sz w:val="20"/>
        </w:rPr>
        <w:t>2</w:t>
      </w:r>
      <w:r w:rsidRPr="00926EEC">
        <w:rPr>
          <w:rFonts w:ascii="Arial Narrow" w:hAnsi="Arial Narrow"/>
          <w:b/>
          <w:sz w:val="20"/>
        </w:rPr>
        <w:t>: NSCLC patient population eligible for treatment with PD-(L</w:t>
      </w:r>
      <w:proofErr w:type="gramStart"/>
      <w:r w:rsidRPr="00926EEC">
        <w:rPr>
          <w:rFonts w:ascii="Arial Narrow" w:hAnsi="Arial Narrow"/>
          <w:b/>
          <w:sz w:val="20"/>
        </w:rPr>
        <w:t>)1</w:t>
      </w:r>
      <w:proofErr w:type="gramEnd"/>
      <w:r w:rsidRPr="00926EEC">
        <w:rPr>
          <w:rFonts w:ascii="Arial Narrow" w:hAnsi="Arial Narrow"/>
          <w:b/>
          <w:sz w:val="20"/>
        </w:rPr>
        <w:t xml:space="preserve"> inhibitor</w:t>
      </w:r>
    </w:p>
    <w:tbl>
      <w:tblPr>
        <w:tblStyle w:val="TableGrid"/>
        <w:tblW w:w="0" w:type="auto"/>
        <w:tblLook w:val="04A0" w:firstRow="1" w:lastRow="0" w:firstColumn="1" w:lastColumn="0" w:noHBand="0" w:noVBand="1"/>
        <w:tblCaption w:val="Table 2"/>
        <w:tblDescription w:val="NSCLC patient population eligible for treatment woth PD-(L)1 inhibitor"/>
      </w:tblPr>
      <w:tblGrid>
        <w:gridCol w:w="1211"/>
        <w:gridCol w:w="748"/>
        <w:gridCol w:w="718"/>
        <w:gridCol w:w="718"/>
        <w:gridCol w:w="853"/>
        <w:gridCol w:w="778"/>
        <w:gridCol w:w="717"/>
        <w:gridCol w:w="717"/>
        <w:gridCol w:w="717"/>
        <w:gridCol w:w="1839"/>
      </w:tblGrid>
      <w:tr w:rsidR="00D5205A" w:rsidRPr="008E526B" w:rsidTr="00D5205A">
        <w:trPr>
          <w:trHeight w:val="300"/>
        </w:trPr>
        <w:tc>
          <w:tcPr>
            <w:tcW w:w="1211" w:type="dxa"/>
            <w:noWrap/>
            <w:hideMark/>
          </w:tcPr>
          <w:p w:rsidR="00D5205A" w:rsidRPr="00ED4983" w:rsidRDefault="00D5205A" w:rsidP="00D73CDA">
            <w:pPr>
              <w:rPr>
                <w:rFonts w:ascii="Arial Narrow" w:hAnsi="Arial Narrow"/>
                <w:sz w:val="20"/>
              </w:rPr>
            </w:pPr>
            <w:r w:rsidRPr="00ED4983">
              <w:rPr>
                <w:rFonts w:ascii="Arial Narrow" w:hAnsi="Arial Narrow"/>
                <w:sz w:val="20"/>
              </w:rPr>
              <w:t> </w:t>
            </w:r>
          </w:p>
        </w:tc>
        <w:tc>
          <w:tcPr>
            <w:tcW w:w="748" w:type="dxa"/>
            <w:noWrap/>
            <w:hideMark/>
          </w:tcPr>
          <w:p w:rsidR="00D5205A" w:rsidRPr="00ED4983" w:rsidRDefault="00D5205A" w:rsidP="00D73CDA">
            <w:pPr>
              <w:rPr>
                <w:rFonts w:ascii="Arial Narrow" w:hAnsi="Arial Narrow"/>
                <w:sz w:val="20"/>
              </w:rPr>
            </w:pPr>
            <w:r w:rsidRPr="00ED4983">
              <w:rPr>
                <w:rFonts w:ascii="Arial Narrow" w:hAnsi="Arial Narrow"/>
                <w:sz w:val="20"/>
              </w:rPr>
              <w:t> </w:t>
            </w:r>
          </w:p>
        </w:tc>
        <w:tc>
          <w:tcPr>
            <w:tcW w:w="718" w:type="dxa"/>
            <w:noWrap/>
            <w:hideMark/>
          </w:tcPr>
          <w:p w:rsidR="00D5205A" w:rsidRPr="00ED4983" w:rsidRDefault="00D5205A" w:rsidP="00D73CDA">
            <w:pPr>
              <w:jc w:val="right"/>
              <w:rPr>
                <w:rFonts w:ascii="Arial Narrow" w:hAnsi="Arial Narrow"/>
                <w:b/>
                <w:bCs/>
                <w:sz w:val="20"/>
              </w:rPr>
            </w:pPr>
            <w:r w:rsidRPr="00ED4983">
              <w:rPr>
                <w:rFonts w:ascii="Arial Narrow" w:hAnsi="Arial Narrow"/>
                <w:b/>
                <w:bCs/>
                <w:sz w:val="20"/>
              </w:rPr>
              <w:t>2018</w:t>
            </w:r>
          </w:p>
        </w:tc>
        <w:tc>
          <w:tcPr>
            <w:tcW w:w="718" w:type="dxa"/>
            <w:noWrap/>
            <w:hideMark/>
          </w:tcPr>
          <w:p w:rsidR="00D5205A" w:rsidRPr="00ED4983" w:rsidRDefault="00D5205A" w:rsidP="00D73CDA">
            <w:pPr>
              <w:jc w:val="right"/>
              <w:rPr>
                <w:rFonts w:ascii="Arial Narrow" w:hAnsi="Arial Narrow"/>
                <w:b/>
                <w:bCs/>
                <w:sz w:val="20"/>
              </w:rPr>
            </w:pPr>
            <w:r w:rsidRPr="00ED4983">
              <w:rPr>
                <w:rFonts w:ascii="Arial Narrow" w:hAnsi="Arial Narrow"/>
                <w:b/>
                <w:bCs/>
                <w:sz w:val="20"/>
              </w:rPr>
              <w:t>2019</w:t>
            </w:r>
          </w:p>
        </w:tc>
        <w:tc>
          <w:tcPr>
            <w:tcW w:w="853" w:type="dxa"/>
            <w:noWrap/>
            <w:hideMark/>
          </w:tcPr>
          <w:p w:rsidR="00D5205A" w:rsidRPr="00ED4983" w:rsidRDefault="00D5205A" w:rsidP="00D73CDA">
            <w:pPr>
              <w:jc w:val="right"/>
              <w:rPr>
                <w:rFonts w:ascii="Arial Narrow" w:hAnsi="Arial Narrow"/>
                <w:b/>
                <w:bCs/>
                <w:sz w:val="20"/>
              </w:rPr>
            </w:pPr>
            <w:r w:rsidRPr="00ED4983">
              <w:rPr>
                <w:rFonts w:ascii="Arial Narrow" w:hAnsi="Arial Narrow"/>
                <w:b/>
                <w:bCs/>
                <w:sz w:val="20"/>
              </w:rPr>
              <w:t>2020</w:t>
            </w:r>
          </w:p>
        </w:tc>
        <w:tc>
          <w:tcPr>
            <w:tcW w:w="778" w:type="dxa"/>
            <w:noWrap/>
            <w:hideMark/>
          </w:tcPr>
          <w:p w:rsidR="00D5205A" w:rsidRPr="00ED4983" w:rsidRDefault="00D5205A" w:rsidP="00D73CDA">
            <w:pPr>
              <w:jc w:val="right"/>
              <w:rPr>
                <w:rFonts w:ascii="Arial Narrow" w:hAnsi="Arial Narrow"/>
                <w:b/>
                <w:bCs/>
                <w:sz w:val="20"/>
              </w:rPr>
            </w:pPr>
            <w:r w:rsidRPr="00ED4983">
              <w:rPr>
                <w:rFonts w:ascii="Arial Narrow" w:hAnsi="Arial Narrow"/>
                <w:b/>
                <w:bCs/>
                <w:sz w:val="20"/>
              </w:rPr>
              <w:t>2021</w:t>
            </w:r>
          </w:p>
        </w:tc>
        <w:tc>
          <w:tcPr>
            <w:tcW w:w="717" w:type="dxa"/>
            <w:noWrap/>
            <w:hideMark/>
          </w:tcPr>
          <w:p w:rsidR="00D5205A" w:rsidRPr="00ED4983" w:rsidRDefault="00D5205A" w:rsidP="00D73CDA">
            <w:pPr>
              <w:jc w:val="right"/>
              <w:rPr>
                <w:rFonts w:ascii="Arial Narrow" w:hAnsi="Arial Narrow"/>
                <w:b/>
                <w:bCs/>
                <w:sz w:val="20"/>
              </w:rPr>
            </w:pPr>
            <w:r w:rsidRPr="00ED4983">
              <w:rPr>
                <w:rFonts w:ascii="Arial Narrow" w:hAnsi="Arial Narrow"/>
                <w:b/>
                <w:bCs/>
                <w:sz w:val="20"/>
              </w:rPr>
              <w:t>2022</w:t>
            </w:r>
          </w:p>
        </w:tc>
        <w:tc>
          <w:tcPr>
            <w:tcW w:w="717" w:type="dxa"/>
            <w:noWrap/>
            <w:hideMark/>
          </w:tcPr>
          <w:p w:rsidR="00D5205A" w:rsidRPr="00ED4983" w:rsidRDefault="00D5205A" w:rsidP="00D73CDA">
            <w:pPr>
              <w:jc w:val="right"/>
              <w:rPr>
                <w:rFonts w:ascii="Arial Narrow" w:hAnsi="Arial Narrow"/>
                <w:b/>
                <w:bCs/>
                <w:sz w:val="20"/>
              </w:rPr>
            </w:pPr>
            <w:r w:rsidRPr="00ED4983">
              <w:rPr>
                <w:rFonts w:ascii="Arial Narrow" w:hAnsi="Arial Narrow"/>
                <w:b/>
                <w:bCs/>
                <w:sz w:val="20"/>
              </w:rPr>
              <w:t>2023</w:t>
            </w:r>
          </w:p>
        </w:tc>
        <w:tc>
          <w:tcPr>
            <w:tcW w:w="717" w:type="dxa"/>
            <w:noWrap/>
            <w:hideMark/>
          </w:tcPr>
          <w:p w:rsidR="00D5205A" w:rsidRPr="00ED4983" w:rsidRDefault="00D5205A" w:rsidP="00D73CDA">
            <w:pPr>
              <w:jc w:val="right"/>
              <w:rPr>
                <w:rFonts w:ascii="Arial Narrow" w:hAnsi="Arial Narrow"/>
                <w:b/>
                <w:bCs/>
                <w:sz w:val="20"/>
              </w:rPr>
            </w:pPr>
            <w:r w:rsidRPr="00ED4983">
              <w:rPr>
                <w:rFonts w:ascii="Arial Narrow" w:hAnsi="Arial Narrow"/>
                <w:b/>
                <w:bCs/>
                <w:sz w:val="20"/>
              </w:rPr>
              <w:t>2024</w:t>
            </w:r>
          </w:p>
        </w:tc>
        <w:tc>
          <w:tcPr>
            <w:tcW w:w="1839" w:type="dxa"/>
            <w:noWrap/>
            <w:hideMark/>
          </w:tcPr>
          <w:p w:rsidR="00D5205A" w:rsidRPr="00ED4983" w:rsidRDefault="00D5205A" w:rsidP="00D73CDA">
            <w:pPr>
              <w:rPr>
                <w:rFonts w:ascii="Arial Narrow" w:hAnsi="Arial Narrow"/>
                <w:sz w:val="20"/>
              </w:rPr>
            </w:pPr>
            <w:r w:rsidRPr="00ED4983">
              <w:rPr>
                <w:rFonts w:ascii="Arial Narrow" w:hAnsi="Arial Narrow"/>
                <w:sz w:val="20"/>
              </w:rPr>
              <w:t> </w:t>
            </w:r>
          </w:p>
        </w:tc>
      </w:tr>
      <w:tr w:rsidR="00D5205A" w:rsidRPr="008E526B" w:rsidTr="00D5205A">
        <w:trPr>
          <w:trHeight w:val="300"/>
        </w:trPr>
        <w:tc>
          <w:tcPr>
            <w:tcW w:w="1211" w:type="dxa"/>
            <w:noWrap/>
            <w:hideMark/>
          </w:tcPr>
          <w:p w:rsidR="00D5205A" w:rsidRPr="00ED4983" w:rsidRDefault="00D5205A" w:rsidP="00D73CDA">
            <w:pPr>
              <w:rPr>
                <w:rFonts w:ascii="Arial Narrow" w:hAnsi="Arial Narrow"/>
                <w:sz w:val="20"/>
              </w:rPr>
            </w:pPr>
            <w:r w:rsidRPr="00ED4983">
              <w:rPr>
                <w:rFonts w:ascii="Arial Narrow" w:hAnsi="Arial Narrow"/>
                <w:sz w:val="20"/>
              </w:rPr>
              <w:t>New cases of lung cancer</w:t>
            </w:r>
          </w:p>
        </w:tc>
        <w:tc>
          <w:tcPr>
            <w:tcW w:w="748" w:type="dxa"/>
            <w:noWrap/>
            <w:hideMark/>
          </w:tcPr>
          <w:p w:rsidR="00D5205A" w:rsidRPr="00ED4983" w:rsidRDefault="00D5205A" w:rsidP="00D73CDA">
            <w:pPr>
              <w:rPr>
                <w:rFonts w:ascii="Arial Narrow" w:hAnsi="Arial Narrow"/>
                <w:sz w:val="20"/>
              </w:rPr>
            </w:pPr>
            <w:r w:rsidRPr="00ED4983">
              <w:rPr>
                <w:rFonts w:ascii="Arial Narrow" w:hAnsi="Arial Narrow"/>
                <w:sz w:val="20"/>
              </w:rPr>
              <w:t> </w:t>
            </w:r>
          </w:p>
        </w:tc>
        <w:tc>
          <w:tcPr>
            <w:tcW w:w="718" w:type="dxa"/>
            <w:noWrap/>
            <w:hideMark/>
          </w:tcPr>
          <w:p w:rsidR="00D5205A" w:rsidRPr="00ED4983" w:rsidRDefault="00D5205A" w:rsidP="00D73CDA">
            <w:pPr>
              <w:jc w:val="right"/>
              <w:rPr>
                <w:rFonts w:ascii="Arial Narrow" w:hAnsi="Arial Narrow"/>
                <w:sz w:val="20"/>
              </w:rPr>
            </w:pPr>
            <w:r w:rsidRPr="00ED4983">
              <w:rPr>
                <w:rFonts w:ascii="Arial Narrow" w:hAnsi="Arial Narrow"/>
                <w:sz w:val="20"/>
              </w:rPr>
              <w:t xml:space="preserve">                12509 </w:t>
            </w:r>
          </w:p>
        </w:tc>
        <w:tc>
          <w:tcPr>
            <w:tcW w:w="718" w:type="dxa"/>
            <w:noWrap/>
            <w:hideMark/>
          </w:tcPr>
          <w:p w:rsidR="00D5205A" w:rsidRPr="00ED4983" w:rsidRDefault="00D5205A" w:rsidP="00D73CDA">
            <w:pPr>
              <w:jc w:val="right"/>
              <w:rPr>
                <w:rFonts w:ascii="Arial Narrow" w:hAnsi="Arial Narrow"/>
                <w:sz w:val="20"/>
              </w:rPr>
            </w:pPr>
            <w:r w:rsidRPr="00ED4983">
              <w:rPr>
                <w:rFonts w:ascii="Arial Narrow" w:hAnsi="Arial Narrow"/>
                <w:sz w:val="20"/>
              </w:rPr>
              <w:t xml:space="preserve">                12750 </w:t>
            </w:r>
          </w:p>
        </w:tc>
        <w:tc>
          <w:tcPr>
            <w:tcW w:w="853" w:type="dxa"/>
            <w:noWrap/>
            <w:hideMark/>
          </w:tcPr>
          <w:p w:rsidR="00D5205A" w:rsidRPr="00ED4983" w:rsidRDefault="00D5205A" w:rsidP="00D73CDA">
            <w:pPr>
              <w:jc w:val="right"/>
              <w:rPr>
                <w:rFonts w:ascii="Arial Narrow" w:hAnsi="Arial Narrow"/>
                <w:sz w:val="20"/>
              </w:rPr>
            </w:pPr>
            <w:r w:rsidRPr="00ED4983">
              <w:rPr>
                <w:rFonts w:ascii="Arial Narrow" w:hAnsi="Arial Narrow"/>
                <w:sz w:val="20"/>
              </w:rPr>
              <w:t xml:space="preserve">                12990 </w:t>
            </w:r>
          </w:p>
        </w:tc>
        <w:tc>
          <w:tcPr>
            <w:tcW w:w="778" w:type="dxa"/>
            <w:noWrap/>
            <w:hideMark/>
          </w:tcPr>
          <w:p w:rsidR="00D5205A" w:rsidRPr="00ED4983" w:rsidRDefault="00D5205A" w:rsidP="00D73CDA">
            <w:pPr>
              <w:jc w:val="right"/>
              <w:rPr>
                <w:rFonts w:ascii="Arial Narrow" w:hAnsi="Arial Narrow"/>
                <w:sz w:val="20"/>
              </w:rPr>
            </w:pPr>
            <w:r w:rsidRPr="00ED4983">
              <w:rPr>
                <w:rFonts w:ascii="Arial Narrow" w:hAnsi="Arial Narrow"/>
                <w:sz w:val="20"/>
              </w:rPr>
              <w:t xml:space="preserve">                13230 </w:t>
            </w:r>
          </w:p>
        </w:tc>
        <w:tc>
          <w:tcPr>
            <w:tcW w:w="717" w:type="dxa"/>
            <w:noWrap/>
            <w:hideMark/>
          </w:tcPr>
          <w:p w:rsidR="00D5205A" w:rsidRPr="00ED4983" w:rsidRDefault="00D5205A" w:rsidP="00D73CDA">
            <w:pPr>
              <w:jc w:val="right"/>
              <w:rPr>
                <w:rFonts w:ascii="Arial Narrow" w:hAnsi="Arial Narrow"/>
                <w:sz w:val="20"/>
              </w:rPr>
            </w:pPr>
            <w:r w:rsidRPr="00ED4983">
              <w:rPr>
                <w:rFonts w:ascii="Arial Narrow" w:hAnsi="Arial Narrow"/>
                <w:sz w:val="20"/>
              </w:rPr>
              <w:t xml:space="preserve">                13470 </w:t>
            </w:r>
          </w:p>
        </w:tc>
        <w:tc>
          <w:tcPr>
            <w:tcW w:w="717" w:type="dxa"/>
            <w:noWrap/>
            <w:hideMark/>
          </w:tcPr>
          <w:p w:rsidR="00D5205A" w:rsidRPr="00ED4983" w:rsidRDefault="00D5205A" w:rsidP="00D73CDA">
            <w:pPr>
              <w:jc w:val="right"/>
              <w:rPr>
                <w:rFonts w:ascii="Arial Narrow" w:hAnsi="Arial Narrow"/>
                <w:sz w:val="20"/>
              </w:rPr>
            </w:pPr>
            <w:r w:rsidRPr="00ED4983">
              <w:rPr>
                <w:rFonts w:ascii="Arial Narrow" w:hAnsi="Arial Narrow"/>
                <w:sz w:val="20"/>
              </w:rPr>
              <w:t xml:space="preserve">                13711 </w:t>
            </w:r>
          </w:p>
        </w:tc>
        <w:tc>
          <w:tcPr>
            <w:tcW w:w="717" w:type="dxa"/>
            <w:noWrap/>
            <w:hideMark/>
          </w:tcPr>
          <w:p w:rsidR="00D5205A" w:rsidRPr="00ED4983" w:rsidRDefault="00D5205A" w:rsidP="00D73CDA">
            <w:pPr>
              <w:jc w:val="right"/>
              <w:rPr>
                <w:rFonts w:ascii="Arial Narrow" w:hAnsi="Arial Narrow"/>
                <w:sz w:val="20"/>
              </w:rPr>
            </w:pPr>
            <w:r w:rsidRPr="00ED4983">
              <w:rPr>
                <w:rFonts w:ascii="Arial Narrow" w:hAnsi="Arial Narrow"/>
                <w:sz w:val="20"/>
              </w:rPr>
              <w:t xml:space="preserve">                13951</w:t>
            </w:r>
          </w:p>
        </w:tc>
        <w:tc>
          <w:tcPr>
            <w:tcW w:w="1839" w:type="dxa"/>
            <w:noWrap/>
            <w:hideMark/>
          </w:tcPr>
          <w:p w:rsidR="00D5205A" w:rsidRPr="00ED4983" w:rsidRDefault="00D5205A" w:rsidP="00D73CDA">
            <w:pPr>
              <w:rPr>
                <w:rFonts w:ascii="Arial Narrow" w:hAnsi="Arial Narrow"/>
                <w:sz w:val="20"/>
              </w:rPr>
            </w:pPr>
            <w:r w:rsidRPr="00ED4983">
              <w:rPr>
                <w:rFonts w:ascii="Arial Narrow" w:hAnsi="Arial Narrow"/>
                <w:sz w:val="20"/>
              </w:rPr>
              <w:t xml:space="preserve">Forecasted from AIHW incidence data. </w:t>
            </w:r>
          </w:p>
        </w:tc>
      </w:tr>
      <w:tr w:rsidR="00D5205A" w:rsidRPr="008E526B" w:rsidTr="00D5205A">
        <w:trPr>
          <w:trHeight w:val="300"/>
        </w:trPr>
        <w:tc>
          <w:tcPr>
            <w:tcW w:w="1211" w:type="dxa"/>
            <w:tcBorders>
              <w:bottom w:val="single" w:sz="4" w:space="0" w:color="auto"/>
            </w:tcBorders>
            <w:shd w:val="clear" w:color="auto" w:fill="F2DBDB" w:themeFill="accent2" w:themeFillTint="33"/>
            <w:noWrap/>
            <w:hideMark/>
          </w:tcPr>
          <w:p w:rsidR="00D5205A" w:rsidRPr="00ED4983" w:rsidRDefault="00D5205A" w:rsidP="00D73CDA">
            <w:pPr>
              <w:rPr>
                <w:rFonts w:ascii="Arial Narrow" w:hAnsi="Arial Narrow"/>
                <w:sz w:val="20"/>
              </w:rPr>
            </w:pPr>
            <w:r w:rsidRPr="00ED4983">
              <w:rPr>
                <w:rFonts w:ascii="Arial Narrow" w:hAnsi="Arial Narrow"/>
                <w:sz w:val="20"/>
              </w:rPr>
              <w:t>Proportion of lung cancer that is NSCLC</w:t>
            </w:r>
          </w:p>
        </w:tc>
        <w:tc>
          <w:tcPr>
            <w:tcW w:w="748" w:type="dxa"/>
            <w:tcBorders>
              <w:bottom w:val="single" w:sz="4" w:space="0" w:color="auto"/>
            </w:tcBorders>
            <w:shd w:val="clear" w:color="auto" w:fill="F2DBDB" w:themeFill="accent2" w:themeFillTint="33"/>
            <w:noWrap/>
            <w:hideMark/>
          </w:tcPr>
          <w:p w:rsidR="00D5205A" w:rsidRPr="00ED4983" w:rsidRDefault="00D5205A" w:rsidP="00D73CDA">
            <w:pPr>
              <w:rPr>
                <w:rFonts w:ascii="Arial Narrow" w:hAnsi="Arial Narrow"/>
                <w:sz w:val="20"/>
              </w:rPr>
            </w:pPr>
            <w:r w:rsidRPr="00ED4983">
              <w:rPr>
                <w:rFonts w:ascii="Arial Narrow" w:hAnsi="Arial Narrow"/>
                <w:sz w:val="20"/>
              </w:rPr>
              <w:t>86.6%</w:t>
            </w:r>
          </w:p>
        </w:tc>
        <w:tc>
          <w:tcPr>
            <w:tcW w:w="718" w:type="dxa"/>
            <w:tcBorders>
              <w:bottom w:val="single" w:sz="4" w:space="0" w:color="auto"/>
            </w:tcBorders>
            <w:shd w:val="clear" w:color="auto" w:fill="F2DBDB" w:themeFill="accent2"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10833</w:t>
            </w:r>
          </w:p>
        </w:tc>
        <w:tc>
          <w:tcPr>
            <w:tcW w:w="718" w:type="dxa"/>
            <w:tcBorders>
              <w:bottom w:val="single" w:sz="4" w:space="0" w:color="auto"/>
            </w:tcBorders>
            <w:shd w:val="clear" w:color="auto" w:fill="F2DBDB" w:themeFill="accent2" w:themeFillTint="33"/>
            <w:hideMark/>
          </w:tcPr>
          <w:p w:rsidR="00D5205A" w:rsidRPr="00ED4983" w:rsidRDefault="00D5205A" w:rsidP="00D73CDA">
            <w:pPr>
              <w:jc w:val="right"/>
              <w:rPr>
                <w:rFonts w:ascii="Arial Narrow" w:hAnsi="Arial Narrow"/>
                <w:sz w:val="20"/>
              </w:rPr>
            </w:pPr>
            <w:r w:rsidRPr="00ED4983">
              <w:rPr>
                <w:rFonts w:ascii="Arial Narrow" w:hAnsi="Arial Narrow"/>
                <w:sz w:val="20"/>
              </w:rPr>
              <w:t>11041</w:t>
            </w:r>
          </w:p>
        </w:tc>
        <w:tc>
          <w:tcPr>
            <w:tcW w:w="853" w:type="dxa"/>
            <w:tcBorders>
              <w:bottom w:val="single" w:sz="4" w:space="0" w:color="auto"/>
            </w:tcBorders>
            <w:shd w:val="clear" w:color="auto" w:fill="F2DBDB" w:themeFill="accent2" w:themeFillTint="33"/>
            <w:noWrap/>
            <w:hideMark/>
          </w:tcPr>
          <w:p w:rsidR="002E6647" w:rsidRDefault="00D5205A" w:rsidP="00D73CDA">
            <w:pPr>
              <w:jc w:val="right"/>
              <w:rPr>
                <w:rFonts w:ascii="Arial Narrow" w:hAnsi="Arial Narrow"/>
                <w:sz w:val="20"/>
              </w:rPr>
            </w:pPr>
            <w:r w:rsidRPr="00ED4983">
              <w:rPr>
                <w:rFonts w:ascii="Arial Narrow" w:hAnsi="Arial Narrow"/>
                <w:sz w:val="20"/>
              </w:rPr>
              <w:t>11249</w:t>
            </w:r>
          </w:p>
          <w:p w:rsidR="002E6647" w:rsidRDefault="002E6647" w:rsidP="002E6647">
            <w:pPr>
              <w:rPr>
                <w:rFonts w:ascii="Arial Narrow" w:hAnsi="Arial Narrow"/>
                <w:sz w:val="20"/>
              </w:rPr>
            </w:pPr>
          </w:p>
          <w:p w:rsidR="002E6647" w:rsidRDefault="002E6647" w:rsidP="002E6647">
            <w:pPr>
              <w:rPr>
                <w:rFonts w:ascii="Arial Narrow" w:hAnsi="Arial Narrow"/>
                <w:sz w:val="20"/>
              </w:rPr>
            </w:pPr>
          </w:p>
          <w:p w:rsidR="002E6647" w:rsidRDefault="002E6647" w:rsidP="002E6647">
            <w:pPr>
              <w:rPr>
                <w:rFonts w:ascii="Arial Narrow" w:hAnsi="Arial Narrow"/>
                <w:sz w:val="20"/>
              </w:rPr>
            </w:pPr>
          </w:p>
          <w:p w:rsidR="00D5205A" w:rsidRPr="002E6647" w:rsidRDefault="00D5205A" w:rsidP="002E6647">
            <w:pPr>
              <w:rPr>
                <w:rFonts w:ascii="Arial Narrow" w:hAnsi="Arial Narrow"/>
                <w:sz w:val="20"/>
              </w:rPr>
            </w:pPr>
          </w:p>
        </w:tc>
        <w:tc>
          <w:tcPr>
            <w:tcW w:w="778" w:type="dxa"/>
            <w:tcBorders>
              <w:bottom w:val="single" w:sz="4" w:space="0" w:color="auto"/>
            </w:tcBorders>
            <w:shd w:val="clear" w:color="auto" w:fill="F2DBDB" w:themeFill="accent2"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11457</w:t>
            </w:r>
          </w:p>
        </w:tc>
        <w:tc>
          <w:tcPr>
            <w:tcW w:w="717" w:type="dxa"/>
            <w:tcBorders>
              <w:bottom w:val="single" w:sz="4" w:space="0" w:color="auto"/>
            </w:tcBorders>
            <w:shd w:val="clear" w:color="auto" w:fill="F2DBDB" w:themeFill="accent2" w:themeFillTint="33"/>
            <w:hideMark/>
          </w:tcPr>
          <w:p w:rsidR="00D5205A" w:rsidRPr="00ED4983" w:rsidRDefault="00D5205A" w:rsidP="00D73CDA">
            <w:pPr>
              <w:jc w:val="right"/>
              <w:rPr>
                <w:rFonts w:ascii="Arial Narrow" w:hAnsi="Arial Narrow"/>
                <w:sz w:val="20"/>
              </w:rPr>
            </w:pPr>
            <w:r w:rsidRPr="00ED4983">
              <w:rPr>
                <w:rFonts w:ascii="Arial Narrow" w:hAnsi="Arial Narrow"/>
                <w:sz w:val="20"/>
              </w:rPr>
              <w:t>11665</w:t>
            </w:r>
          </w:p>
        </w:tc>
        <w:tc>
          <w:tcPr>
            <w:tcW w:w="717" w:type="dxa"/>
            <w:tcBorders>
              <w:bottom w:val="single" w:sz="4" w:space="0" w:color="auto"/>
            </w:tcBorders>
            <w:shd w:val="clear" w:color="auto" w:fill="F2DBDB" w:themeFill="accent2" w:themeFillTint="33"/>
            <w:hideMark/>
          </w:tcPr>
          <w:p w:rsidR="00D5205A" w:rsidRPr="00ED4983" w:rsidRDefault="00D5205A" w:rsidP="00D73CDA">
            <w:pPr>
              <w:jc w:val="right"/>
              <w:rPr>
                <w:rFonts w:ascii="Arial Narrow" w:hAnsi="Arial Narrow"/>
                <w:sz w:val="20"/>
              </w:rPr>
            </w:pPr>
            <w:r w:rsidRPr="00ED4983">
              <w:rPr>
                <w:rFonts w:ascii="Arial Narrow" w:hAnsi="Arial Narrow"/>
                <w:sz w:val="20"/>
              </w:rPr>
              <w:t>11873</w:t>
            </w:r>
          </w:p>
        </w:tc>
        <w:tc>
          <w:tcPr>
            <w:tcW w:w="717" w:type="dxa"/>
            <w:tcBorders>
              <w:bottom w:val="single" w:sz="4" w:space="0" w:color="auto"/>
            </w:tcBorders>
            <w:shd w:val="clear" w:color="auto" w:fill="F2DBDB" w:themeFill="accent2" w:themeFillTint="33"/>
            <w:hideMark/>
          </w:tcPr>
          <w:p w:rsidR="00D5205A" w:rsidRPr="00ED4983" w:rsidRDefault="00D5205A" w:rsidP="00D73CDA">
            <w:pPr>
              <w:jc w:val="right"/>
              <w:rPr>
                <w:rFonts w:ascii="Arial Narrow" w:hAnsi="Arial Narrow"/>
                <w:sz w:val="20"/>
              </w:rPr>
            </w:pPr>
            <w:r w:rsidRPr="00ED4983">
              <w:rPr>
                <w:rFonts w:ascii="Arial Narrow" w:hAnsi="Arial Narrow"/>
                <w:sz w:val="20"/>
              </w:rPr>
              <w:t>12082</w:t>
            </w:r>
          </w:p>
        </w:tc>
        <w:tc>
          <w:tcPr>
            <w:tcW w:w="1839" w:type="dxa"/>
            <w:noWrap/>
            <w:hideMark/>
          </w:tcPr>
          <w:p w:rsidR="00D5205A" w:rsidRPr="00ED4983" w:rsidRDefault="00D5205A" w:rsidP="00D73CDA">
            <w:pPr>
              <w:rPr>
                <w:rFonts w:ascii="Arial Narrow" w:hAnsi="Arial Narrow"/>
                <w:sz w:val="20"/>
              </w:rPr>
            </w:pPr>
            <w:r w:rsidRPr="00ED4983">
              <w:rPr>
                <w:rFonts w:ascii="Arial Narrow" w:hAnsi="Arial Narrow"/>
                <w:sz w:val="20"/>
              </w:rPr>
              <w:t xml:space="preserve">“Lung cancer in Australia: an overview” (AIHW 2011). Source previously accepted by PBAC </w:t>
            </w:r>
          </w:p>
        </w:tc>
      </w:tr>
      <w:tr w:rsidR="00D5205A" w:rsidRPr="008E526B" w:rsidTr="00D5205A">
        <w:trPr>
          <w:trHeight w:val="451"/>
        </w:trPr>
        <w:tc>
          <w:tcPr>
            <w:tcW w:w="7177" w:type="dxa"/>
            <w:gridSpan w:val="9"/>
            <w:tcBorders>
              <w:top w:val="single" w:sz="4" w:space="0" w:color="auto"/>
              <w:left w:val="single" w:sz="4" w:space="0" w:color="auto"/>
              <w:bottom w:val="single" w:sz="4" w:space="0" w:color="auto"/>
              <w:right w:val="single" w:sz="4" w:space="0" w:color="auto"/>
            </w:tcBorders>
            <w:noWrap/>
            <w:hideMark/>
          </w:tcPr>
          <w:p w:rsidR="00D5205A" w:rsidRPr="00ED4983" w:rsidRDefault="00D5205A" w:rsidP="00D5205A">
            <w:pPr>
              <w:rPr>
                <w:rFonts w:ascii="Arial Narrow" w:hAnsi="Arial Narrow"/>
                <w:b/>
                <w:bCs/>
                <w:sz w:val="20"/>
              </w:rPr>
            </w:pPr>
            <w:r w:rsidRPr="00ED4983">
              <w:rPr>
                <w:rFonts w:ascii="Arial Narrow" w:hAnsi="Arial Narrow"/>
                <w:b/>
                <w:bCs/>
                <w:sz w:val="20"/>
              </w:rPr>
              <w:t>Stage for NSCLC</w:t>
            </w:r>
            <w:r w:rsidRPr="00ED4983">
              <w:rPr>
                <w:rFonts w:ascii="Arial Narrow" w:hAnsi="Arial Narrow"/>
                <w:sz w:val="20"/>
              </w:rPr>
              <w:t> </w:t>
            </w:r>
          </w:p>
          <w:p w:rsidR="00D5205A" w:rsidRPr="00ED4983" w:rsidRDefault="00D5205A" w:rsidP="00D73CDA">
            <w:pPr>
              <w:jc w:val="right"/>
              <w:rPr>
                <w:rFonts w:ascii="Arial Narrow" w:hAnsi="Arial Narrow"/>
                <w:sz w:val="20"/>
              </w:rPr>
            </w:pPr>
            <w:r w:rsidRPr="00ED4983">
              <w:rPr>
                <w:rFonts w:ascii="Arial Narrow" w:hAnsi="Arial Narrow"/>
                <w:sz w:val="20"/>
              </w:rPr>
              <w:t> </w:t>
            </w:r>
          </w:p>
        </w:tc>
        <w:tc>
          <w:tcPr>
            <w:tcW w:w="1839" w:type="dxa"/>
            <w:tcBorders>
              <w:left w:val="single" w:sz="4" w:space="0" w:color="auto"/>
            </w:tcBorders>
            <w:noWrap/>
            <w:hideMark/>
          </w:tcPr>
          <w:p w:rsidR="00D5205A" w:rsidRPr="00ED4983" w:rsidRDefault="00D5205A" w:rsidP="00D5205A">
            <w:pPr>
              <w:rPr>
                <w:rFonts w:ascii="Arial Narrow" w:hAnsi="Arial Narrow"/>
                <w:sz w:val="20"/>
                <w:u w:val="single"/>
              </w:rPr>
            </w:pPr>
            <w:r w:rsidRPr="00D762A4">
              <w:rPr>
                <w:rStyle w:val="Hyperlink"/>
                <w:rFonts w:ascii="Arial Narrow" w:hAnsi="Arial Narrow"/>
                <w:sz w:val="20"/>
              </w:rPr>
              <w:t>Mitchell et al. (2013). Source previously accepted by PBAC.</w:t>
            </w:r>
          </w:p>
        </w:tc>
      </w:tr>
      <w:tr w:rsidR="00D5205A" w:rsidRPr="008E526B" w:rsidTr="00D5205A">
        <w:trPr>
          <w:trHeight w:val="300"/>
        </w:trPr>
        <w:tc>
          <w:tcPr>
            <w:tcW w:w="121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hideMark/>
          </w:tcPr>
          <w:p w:rsidR="00D5205A" w:rsidRPr="00ED4983" w:rsidRDefault="00D5205A" w:rsidP="00D73CDA">
            <w:pPr>
              <w:rPr>
                <w:rFonts w:ascii="Arial Narrow" w:hAnsi="Arial Narrow"/>
                <w:sz w:val="20"/>
              </w:rPr>
            </w:pPr>
            <w:r w:rsidRPr="00ED4983">
              <w:rPr>
                <w:rFonts w:ascii="Arial Narrow" w:hAnsi="Arial Narrow"/>
                <w:sz w:val="20"/>
              </w:rPr>
              <w:t>III</w:t>
            </w:r>
          </w:p>
        </w:tc>
        <w:tc>
          <w:tcPr>
            <w:tcW w:w="74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hideMark/>
          </w:tcPr>
          <w:p w:rsidR="00D5205A" w:rsidRPr="00ED4983" w:rsidRDefault="00D5205A" w:rsidP="00D73CDA">
            <w:pPr>
              <w:rPr>
                <w:rFonts w:ascii="Arial Narrow" w:hAnsi="Arial Narrow"/>
                <w:sz w:val="20"/>
              </w:rPr>
            </w:pPr>
            <w:r w:rsidRPr="00ED4983">
              <w:rPr>
                <w:rFonts w:ascii="Arial Narrow" w:hAnsi="Arial Narrow"/>
                <w:sz w:val="20"/>
              </w:rPr>
              <w:t>25.8%</w:t>
            </w:r>
          </w:p>
        </w:tc>
        <w:tc>
          <w:tcPr>
            <w:tcW w:w="71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2795</w:t>
            </w:r>
          </w:p>
        </w:tc>
        <w:tc>
          <w:tcPr>
            <w:tcW w:w="71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2849</w:t>
            </w:r>
          </w:p>
        </w:tc>
        <w:tc>
          <w:tcPr>
            <w:tcW w:w="853"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2902</w:t>
            </w:r>
          </w:p>
        </w:tc>
        <w:tc>
          <w:tcPr>
            <w:tcW w:w="77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2956</w:t>
            </w:r>
          </w:p>
        </w:tc>
        <w:tc>
          <w:tcPr>
            <w:tcW w:w="71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3010</w:t>
            </w:r>
          </w:p>
        </w:tc>
        <w:tc>
          <w:tcPr>
            <w:tcW w:w="71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3063</w:t>
            </w:r>
          </w:p>
        </w:tc>
        <w:tc>
          <w:tcPr>
            <w:tcW w:w="71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3117</w:t>
            </w:r>
          </w:p>
        </w:tc>
        <w:tc>
          <w:tcPr>
            <w:tcW w:w="1839" w:type="dxa"/>
            <w:tcBorders>
              <w:left w:val="single" w:sz="4" w:space="0" w:color="auto"/>
            </w:tcBorders>
            <w:noWrap/>
            <w:hideMark/>
          </w:tcPr>
          <w:p w:rsidR="00D5205A" w:rsidRPr="00ED4983" w:rsidRDefault="00D5205A" w:rsidP="00D73CDA">
            <w:pPr>
              <w:rPr>
                <w:rFonts w:ascii="Arial Narrow" w:hAnsi="Arial Narrow"/>
                <w:sz w:val="20"/>
              </w:rPr>
            </w:pPr>
            <w:r w:rsidRPr="00ED4983">
              <w:rPr>
                <w:rFonts w:ascii="Arial Narrow" w:hAnsi="Arial Narrow"/>
                <w:sz w:val="20"/>
              </w:rPr>
              <w:t> </w:t>
            </w:r>
          </w:p>
        </w:tc>
      </w:tr>
      <w:tr w:rsidR="00D5205A" w:rsidRPr="008E526B" w:rsidTr="00D5205A">
        <w:trPr>
          <w:trHeight w:val="300"/>
        </w:trPr>
        <w:tc>
          <w:tcPr>
            <w:tcW w:w="1211" w:type="dxa"/>
            <w:tcBorders>
              <w:top w:val="single" w:sz="4" w:space="0" w:color="auto"/>
            </w:tcBorders>
            <w:noWrap/>
            <w:hideMark/>
          </w:tcPr>
          <w:p w:rsidR="00D5205A" w:rsidRPr="00ED4983" w:rsidRDefault="00D5205A" w:rsidP="00D73CDA">
            <w:pPr>
              <w:rPr>
                <w:rFonts w:ascii="Arial Narrow" w:hAnsi="Arial Narrow"/>
                <w:sz w:val="20"/>
              </w:rPr>
            </w:pPr>
            <w:r w:rsidRPr="00ED4983">
              <w:rPr>
                <w:rFonts w:ascii="Arial Narrow" w:hAnsi="Arial Narrow"/>
                <w:sz w:val="20"/>
              </w:rPr>
              <w:t>IIIA</w:t>
            </w:r>
          </w:p>
        </w:tc>
        <w:tc>
          <w:tcPr>
            <w:tcW w:w="748" w:type="dxa"/>
            <w:tcBorders>
              <w:top w:val="single" w:sz="4" w:space="0" w:color="auto"/>
            </w:tcBorders>
            <w:noWrap/>
            <w:hideMark/>
          </w:tcPr>
          <w:p w:rsidR="00D5205A" w:rsidRPr="00ED4983" w:rsidRDefault="00D5205A" w:rsidP="00D73CDA">
            <w:pPr>
              <w:rPr>
                <w:rFonts w:ascii="Arial Narrow" w:hAnsi="Arial Narrow"/>
                <w:sz w:val="20"/>
              </w:rPr>
            </w:pPr>
            <w:r w:rsidRPr="00ED4983">
              <w:rPr>
                <w:rFonts w:ascii="Arial Narrow" w:hAnsi="Arial Narrow"/>
                <w:sz w:val="20"/>
              </w:rPr>
              <w:t>11.8%</w:t>
            </w:r>
          </w:p>
        </w:tc>
        <w:tc>
          <w:tcPr>
            <w:tcW w:w="718" w:type="dxa"/>
            <w:tcBorders>
              <w:top w:val="single" w:sz="4" w:space="0" w:color="auto"/>
            </w:tcBorders>
            <w:noWrap/>
            <w:hideMark/>
          </w:tcPr>
          <w:p w:rsidR="00D5205A" w:rsidRPr="00ED4983" w:rsidRDefault="00D5205A" w:rsidP="00D73CDA">
            <w:pPr>
              <w:jc w:val="right"/>
              <w:rPr>
                <w:rFonts w:ascii="Arial Narrow" w:hAnsi="Arial Narrow"/>
                <w:sz w:val="20"/>
              </w:rPr>
            </w:pPr>
            <w:r w:rsidRPr="00ED4983">
              <w:rPr>
                <w:rFonts w:ascii="Arial Narrow" w:hAnsi="Arial Narrow"/>
                <w:sz w:val="20"/>
              </w:rPr>
              <w:t>1278</w:t>
            </w:r>
          </w:p>
        </w:tc>
        <w:tc>
          <w:tcPr>
            <w:tcW w:w="718" w:type="dxa"/>
            <w:tcBorders>
              <w:top w:val="single" w:sz="4" w:space="0" w:color="auto"/>
            </w:tcBorders>
            <w:noWrap/>
            <w:hideMark/>
          </w:tcPr>
          <w:p w:rsidR="00D5205A" w:rsidRPr="00ED4983" w:rsidRDefault="00D5205A" w:rsidP="00D73CDA">
            <w:pPr>
              <w:jc w:val="right"/>
              <w:rPr>
                <w:rFonts w:ascii="Arial Narrow" w:hAnsi="Arial Narrow"/>
                <w:sz w:val="20"/>
              </w:rPr>
            </w:pPr>
            <w:r w:rsidRPr="00ED4983">
              <w:rPr>
                <w:rFonts w:ascii="Arial Narrow" w:hAnsi="Arial Narrow"/>
                <w:sz w:val="20"/>
              </w:rPr>
              <w:t>1303</w:t>
            </w:r>
          </w:p>
        </w:tc>
        <w:tc>
          <w:tcPr>
            <w:tcW w:w="853" w:type="dxa"/>
            <w:tcBorders>
              <w:top w:val="single" w:sz="4" w:space="0" w:color="auto"/>
            </w:tcBorders>
            <w:noWrap/>
            <w:hideMark/>
          </w:tcPr>
          <w:p w:rsidR="00D5205A" w:rsidRPr="00ED4983" w:rsidRDefault="00D5205A" w:rsidP="00D73CDA">
            <w:pPr>
              <w:jc w:val="right"/>
              <w:rPr>
                <w:rFonts w:ascii="Arial Narrow" w:hAnsi="Arial Narrow"/>
                <w:sz w:val="20"/>
              </w:rPr>
            </w:pPr>
            <w:r w:rsidRPr="00ED4983">
              <w:rPr>
                <w:rFonts w:ascii="Arial Narrow" w:hAnsi="Arial Narrow"/>
                <w:sz w:val="20"/>
              </w:rPr>
              <w:t>1327</w:t>
            </w:r>
          </w:p>
        </w:tc>
        <w:tc>
          <w:tcPr>
            <w:tcW w:w="778" w:type="dxa"/>
            <w:tcBorders>
              <w:top w:val="single" w:sz="4" w:space="0" w:color="auto"/>
            </w:tcBorders>
            <w:noWrap/>
            <w:hideMark/>
          </w:tcPr>
          <w:p w:rsidR="00D5205A" w:rsidRPr="00ED4983" w:rsidRDefault="00D5205A" w:rsidP="00D73CDA">
            <w:pPr>
              <w:jc w:val="right"/>
              <w:rPr>
                <w:rFonts w:ascii="Arial Narrow" w:hAnsi="Arial Narrow"/>
                <w:sz w:val="20"/>
              </w:rPr>
            </w:pPr>
            <w:r w:rsidRPr="00ED4983">
              <w:rPr>
                <w:rFonts w:ascii="Arial Narrow" w:hAnsi="Arial Narrow"/>
                <w:sz w:val="20"/>
              </w:rPr>
              <w:t>1352</w:t>
            </w:r>
          </w:p>
        </w:tc>
        <w:tc>
          <w:tcPr>
            <w:tcW w:w="717" w:type="dxa"/>
            <w:tcBorders>
              <w:top w:val="single" w:sz="4" w:space="0" w:color="auto"/>
            </w:tcBorders>
            <w:noWrap/>
            <w:hideMark/>
          </w:tcPr>
          <w:p w:rsidR="00D5205A" w:rsidRPr="00ED4983" w:rsidRDefault="00D5205A" w:rsidP="00D73CDA">
            <w:pPr>
              <w:jc w:val="right"/>
              <w:rPr>
                <w:rFonts w:ascii="Arial Narrow" w:hAnsi="Arial Narrow"/>
                <w:sz w:val="20"/>
              </w:rPr>
            </w:pPr>
            <w:r w:rsidRPr="00ED4983">
              <w:rPr>
                <w:rFonts w:ascii="Arial Narrow" w:hAnsi="Arial Narrow"/>
                <w:sz w:val="20"/>
              </w:rPr>
              <w:t>1377</w:t>
            </w:r>
          </w:p>
        </w:tc>
        <w:tc>
          <w:tcPr>
            <w:tcW w:w="717" w:type="dxa"/>
            <w:tcBorders>
              <w:top w:val="single" w:sz="4" w:space="0" w:color="auto"/>
            </w:tcBorders>
            <w:noWrap/>
            <w:hideMark/>
          </w:tcPr>
          <w:p w:rsidR="00D5205A" w:rsidRPr="00ED4983" w:rsidRDefault="00D5205A" w:rsidP="00D73CDA">
            <w:pPr>
              <w:jc w:val="right"/>
              <w:rPr>
                <w:rFonts w:ascii="Arial Narrow" w:hAnsi="Arial Narrow"/>
                <w:sz w:val="20"/>
              </w:rPr>
            </w:pPr>
            <w:r w:rsidRPr="00ED4983">
              <w:rPr>
                <w:rFonts w:ascii="Arial Narrow" w:hAnsi="Arial Narrow"/>
                <w:sz w:val="20"/>
              </w:rPr>
              <w:t>1401</w:t>
            </w:r>
          </w:p>
        </w:tc>
        <w:tc>
          <w:tcPr>
            <w:tcW w:w="717" w:type="dxa"/>
            <w:tcBorders>
              <w:top w:val="single" w:sz="4" w:space="0" w:color="auto"/>
            </w:tcBorders>
            <w:noWrap/>
            <w:hideMark/>
          </w:tcPr>
          <w:p w:rsidR="00D5205A" w:rsidRPr="00ED4983" w:rsidRDefault="00D5205A" w:rsidP="00D73CDA">
            <w:pPr>
              <w:jc w:val="right"/>
              <w:rPr>
                <w:rFonts w:ascii="Arial Narrow" w:hAnsi="Arial Narrow"/>
                <w:sz w:val="20"/>
              </w:rPr>
            </w:pPr>
            <w:r w:rsidRPr="00ED4983">
              <w:rPr>
                <w:rFonts w:ascii="Arial Narrow" w:hAnsi="Arial Narrow"/>
                <w:sz w:val="20"/>
              </w:rPr>
              <w:t>1426</w:t>
            </w:r>
          </w:p>
        </w:tc>
        <w:tc>
          <w:tcPr>
            <w:tcW w:w="1839" w:type="dxa"/>
            <w:noWrap/>
            <w:hideMark/>
          </w:tcPr>
          <w:p w:rsidR="00D5205A" w:rsidRPr="00ED4983" w:rsidRDefault="00D5205A" w:rsidP="00D73CDA">
            <w:pPr>
              <w:rPr>
                <w:rFonts w:ascii="Arial Narrow" w:hAnsi="Arial Narrow"/>
                <w:sz w:val="20"/>
              </w:rPr>
            </w:pPr>
            <w:r w:rsidRPr="00ED4983">
              <w:rPr>
                <w:rFonts w:ascii="Arial Narrow" w:hAnsi="Arial Narrow"/>
                <w:sz w:val="20"/>
              </w:rPr>
              <w:t> </w:t>
            </w:r>
          </w:p>
        </w:tc>
      </w:tr>
      <w:tr w:rsidR="00D5205A" w:rsidRPr="008E526B" w:rsidTr="00D5205A">
        <w:trPr>
          <w:trHeight w:val="300"/>
        </w:trPr>
        <w:tc>
          <w:tcPr>
            <w:tcW w:w="1211" w:type="dxa"/>
            <w:noWrap/>
            <w:hideMark/>
          </w:tcPr>
          <w:p w:rsidR="00D5205A" w:rsidRPr="00ED4983" w:rsidRDefault="00D5205A" w:rsidP="00D73CDA">
            <w:pPr>
              <w:rPr>
                <w:rFonts w:ascii="Arial Narrow" w:hAnsi="Arial Narrow"/>
                <w:sz w:val="20"/>
              </w:rPr>
            </w:pPr>
            <w:r w:rsidRPr="00ED4983">
              <w:rPr>
                <w:rFonts w:ascii="Arial Narrow" w:hAnsi="Arial Narrow"/>
                <w:sz w:val="20"/>
              </w:rPr>
              <w:t>IIIB</w:t>
            </w:r>
          </w:p>
        </w:tc>
        <w:tc>
          <w:tcPr>
            <w:tcW w:w="748" w:type="dxa"/>
            <w:noWrap/>
            <w:hideMark/>
          </w:tcPr>
          <w:p w:rsidR="00D5205A" w:rsidRPr="00ED4983" w:rsidRDefault="00D5205A" w:rsidP="00D73CDA">
            <w:pPr>
              <w:rPr>
                <w:rFonts w:ascii="Arial Narrow" w:hAnsi="Arial Narrow"/>
                <w:sz w:val="20"/>
              </w:rPr>
            </w:pPr>
            <w:r w:rsidRPr="00ED4983">
              <w:rPr>
                <w:rFonts w:ascii="Arial Narrow" w:hAnsi="Arial Narrow"/>
                <w:sz w:val="20"/>
              </w:rPr>
              <w:t>14.0%</w:t>
            </w:r>
          </w:p>
        </w:tc>
        <w:tc>
          <w:tcPr>
            <w:tcW w:w="718" w:type="dxa"/>
            <w:noWrap/>
            <w:hideMark/>
          </w:tcPr>
          <w:p w:rsidR="00D5205A" w:rsidRPr="00ED4983" w:rsidRDefault="00D5205A" w:rsidP="00D73CDA">
            <w:pPr>
              <w:jc w:val="right"/>
              <w:rPr>
                <w:rFonts w:ascii="Arial Narrow" w:hAnsi="Arial Narrow"/>
                <w:sz w:val="20"/>
              </w:rPr>
            </w:pPr>
            <w:r w:rsidRPr="00ED4983">
              <w:rPr>
                <w:rFonts w:ascii="Arial Narrow" w:hAnsi="Arial Narrow"/>
                <w:sz w:val="20"/>
              </w:rPr>
              <w:t>1517</w:t>
            </w:r>
          </w:p>
        </w:tc>
        <w:tc>
          <w:tcPr>
            <w:tcW w:w="718" w:type="dxa"/>
            <w:noWrap/>
            <w:hideMark/>
          </w:tcPr>
          <w:p w:rsidR="00D5205A" w:rsidRPr="00ED4983" w:rsidRDefault="00D5205A" w:rsidP="00D73CDA">
            <w:pPr>
              <w:jc w:val="right"/>
              <w:rPr>
                <w:rFonts w:ascii="Arial Narrow" w:hAnsi="Arial Narrow"/>
                <w:sz w:val="20"/>
              </w:rPr>
            </w:pPr>
            <w:r w:rsidRPr="00ED4983">
              <w:rPr>
                <w:rFonts w:ascii="Arial Narrow" w:hAnsi="Arial Narrow"/>
                <w:sz w:val="20"/>
              </w:rPr>
              <w:t>1546</w:t>
            </w:r>
          </w:p>
        </w:tc>
        <w:tc>
          <w:tcPr>
            <w:tcW w:w="853" w:type="dxa"/>
            <w:noWrap/>
            <w:hideMark/>
          </w:tcPr>
          <w:p w:rsidR="00D5205A" w:rsidRPr="00ED4983" w:rsidRDefault="00D5205A" w:rsidP="00D73CDA">
            <w:pPr>
              <w:jc w:val="right"/>
              <w:rPr>
                <w:rFonts w:ascii="Arial Narrow" w:hAnsi="Arial Narrow"/>
                <w:sz w:val="20"/>
              </w:rPr>
            </w:pPr>
            <w:r w:rsidRPr="00ED4983">
              <w:rPr>
                <w:rFonts w:ascii="Arial Narrow" w:hAnsi="Arial Narrow"/>
                <w:sz w:val="20"/>
              </w:rPr>
              <w:t>1575</w:t>
            </w:r>
          </w:p>
        </w:tc>
        <w:tc>
          <w:tcPr>
            <w:tcW w:w="778" w:type="dxa"/>
            <w:noWrap/>
            <w:hideMark/>
          </w:tcPr>
          <w:p w:rsidR="00D5205A" w:rsidRPr="00ED4983" w:rsidRDefault="00D5205A" w:rsidP="00D73CDA">
            <w:pPr>
              <w:jc w:val="right"/>
              <w:rPr>
                <w:rFonts w:ascii="Arial Narrow" w:hAnsi="Arial Narrow"/>
                <w:sz w:val="20"/>
              </w:rPr>
            </w:pPr>
            <w:r w:rsidRPr="00ED4983">
              <w:rPr>
                <w:rFonts w:ascii="Arial Narrow" w:hAnsi="Arial Narrow"/>
                <w:sz w:val="20"/>
              </w:rPr>
              <w:t>1604</w:t>
            </w:r>
          </w:p>
        </w:tc>
        <w:tc>
          <w:tcPr>
            <w:tcW w:w="717" w:type="dxa"/>
            <w:noWrap/>
            <w:hideMark/>
          </w:tcPr>
          <w:p w:rsidR="00D5205A" w:rsidRPr="00ED4983" w:rsidRDefault="00D5205A" w:rsidP="00D73CDA">
            <w:pPr>
              <w:jc w:val="right"/>
              <w:rPr>
                <w:rFonts w:ascii="Arial Narrow" w:hAnsi="Arial Narrow"/>
                <w:sz w:val="20"/>
              </w:rPr>
            </w:pPr>
            <w:r w:rsidRPr="00ED4983">
              <w:rPr>
                <w:rFonts w:ascii="Arial Narrow" w:hAnsi="Arial Narrow"/>
                <w:sz w:val="20"/>
              </w:rPr>
              <w:t>1633</w:t>
            </w:r>
          </w:p>
        </w:tc>
        <w:tc>
          <w:tcPr>
            <w:tcW w:w="717" w:type="dxa"/>
            <w:noWrap/>
            <w:hideMark/>
          </w:tcPr>
          <w:p w:rsidR="00D5205A" w:rsidRPr="00ED4983" w:rsidRDefault="00D5205A" w:rsidP="00D73CDA">
            <w:pPr>
              <w:jc w:val="right"/>
              <w:rPr>
                <w:rFonts w:ascii="Arial Narrow" w:hAnsi="Arial Narrow"/>
                <w:sz w:val="20"/>
              </w:rPr>
            </w:pPr>
            <w:r w:rsidRPr="00ED4983">
              <w:rPr>
                <w:rFonts w:ascii="Arial Narrow" w:hAnsi="Arial Narrow"/>
                <w:sz w:val="20"/>
              </w:rPr>
              <w:t>1662</w:t>
            </w:r>
          </w:p>
        </w:tc>
        <w:tc>
          <w:tcPr>
            <w:tcW w:w="717" w:type="dxa"/>
            <w:noWrap/>
            <w:hideMark/>
          </w:tcPr>
          <w:p w:rsidR="00D5205A" w:rsidRPr="00ED4983" w:rsidRDefault="00D5205A" w:rsidP="00D73CDA">
            <w:pPr>
              <w:jc w:val="right"/>
              <w:rPr>
                <w:rFonts w:ascii="Arial Narrow" w:hAnsi="Arial Narrow"/>
                <w:sz w:val="20"/>
              </w:rPr>
            </w:pPr>
            <w:r w:rsidRPr="00ED4983">
              <w:rPr>
                <w:rFonts w:ascii="Arial Narrow" w:hAnsi="Arial Narrow"/>
                <w:sz w:val="20"/>
              </w:rPr>
              <w:t>1691</w:t>
            </w:r>
          </w:p>
        </w:tc>
        <w:tc>
          <w:tcPr>
            <w:tcW w:w="1839" w:type="dxa"/>
            <w:noWrap/>
            <w:hideMark/>
          </w:tcPr>
          <w:p w:rsidR="00D5205A" w:rsidRPr="00ED4983" w:rsidRDefault="00D5205A" w:rsidP="00D73CDA">
            <w:pPr>
              <w:rPr>
                <w:rFonts w:ascii="Arial Narrow" w:hAnsi="Arial Narrow"/>
                <w:sz w:val="20"/>
              </w:rPr>
            </w:pPr>
            <w:r w:rsidRPr="00ED4983">
              <w:rPr>
                <w:rFonts w:ascii="Arial Narrow" w:hAnsi="Arial Narrow"/>
                <w:sz w:val="20"/>
              </w:rPr>
              <w:t> </w:t>
            </w:r>
          </w:p>
        </w:tc>
      </w:tr>
      <w:tr w:rsidR="00D5205A" w:rsidRPr="008E526B" w:rsidTr="00D5205A">
        <w:trPr>
          <w:trHeight w:val="300"/>
        </w:trPr>
        <w:tc>
          <w:tcPr>
            <w:tcW w:w="1211" w:type="dxa"/>
            <w:shd w:val="clear" w:color="auto" w:fill="EAF1DD" w:themeFill="accent3" w:themeFillTint="33"/>
            <w:noWrap/>
            <w:hideMark/>
          </w:tcPr>
          <w:p w:rsidR="00D5205A" w:rsidRPr="00ED4983" w:rsidRDefault="00D5205A" w:rsidP="00D73CDA">
            <w:pPr>
              <w:rPr>
                <w:rFonts w:ascii="Arial Narrow" w:hAnsi="Arial Narrow"/>
                <w:sz w:val="20"/>
              </w:rPr>
            </w:pPr>
            <w:r w:rsidRPr="00ED4983">
              <w:rPr>
                <w:rFonts w:ascii="Arial Narrow" w:hAnsi="Arial Narrow"/>
                <w:sz w:val="20"/>
              </w:rPr>
              <w:t>IV</w:t>
            </w:r>
          </w:p>
        </w:tc>
        <w:tc>
          <w:tcPr>
            <w:tcW w:w="748" w:type="dxa"/>
            <w:shd w:val="clear" w:color="auto" w:fill="EAF1DD" w:themeFill="accent3" w:themeFillTint="33"/>
            <w:noWrap/>
            <w:hideMark/>
          </w:tcPr>
          <w:p w:rsidR="00D5205A" w:rsidRPr="00ED4983" w:rsidRDefault="00D5205A" w:rsidP="00D73CDA">
            <w:pPr>
              <w:rPr>
                <w:rFonts w:ascii="Arial Narrow" w:hAnsi="Arial Narrow"/>
                <w:sz w:val="20"/>
              </w:rPr>
            </w:pPr>
            <w:r w:rsidRPr="00ED4983">
              <w:rPr>
                <w:rFonts w:ascii="Arial Narrow" w:hAnsi="Arial Narrow"/>
                <w:sz w:val="20"/>
              </w:rPr>
              <w:t>51.5%</w:t>
            </w:r>
          </w:p>
        </w:tc>
        <w:tc>
          <w:tcPr>
            <w:tcW w:w="718" w:type="dxa"/>
            <w:shd w:val="clear" w:color="auto" w:fill="EAF1DD" w:themeFill="accent3"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5579</w:t>
            </w:r>
          </w:p>
        </w:tc>
        <w:tc>
          <w:tcPr>
            <w:tcW w:w="718" w:type="dxa"/>
            <w:shd w:val="clear" w:color="auto" w:fill="EAF1DD" w:themeFill="accent3"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5686</w:t>
            </w:r>
          </w:p>
        </w:tc>
        <w:tc>
          <w:tcPr>
            <w:tcW w:w="853" w:type="dxa"/>
            <w:shd w:val="clear" w:color="auto" w:fill="EAF1DD" w:themeFill="accent3"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5793</w:t>
            </w:r>
          </w:p>
        </w:tc>
        <w:tc>
          <w:tcPr>
            <w:tcW w:w="778" w:type="dxa"/>
            <w:shd w:val="clear" w:color="auto" w:fill="EAF1DD" w:themeFill="accent3"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5900</w:t>
            </w:r>
          </w:p>
        </w:tc>
        <w:tc>
          <w:tcPr>
            <w:tcW w:w="717" w:type="dxa"/>
            <w:shd w:val="clear" w:color="auto" w:fill="EAF1DD" w:themeFill="accent3"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6008</w:t>
            </w:r>
          </w:p>
        </w:tc>
        <w:tc>
          <w:tcPr>
            <w:tcW w:w="717" w:type="dxa"/>
            <w:shd w:val="clear" w:color="auto" w:fill="EAF1DD" w:themeFill="accent3"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6115</w:t>
            </w:r>
          </w:p>
        </w:tc>
        <w:tc>
          <w:tcPr>
            <w:tcW w:w="717" w:type="dxa"/>
            <w:shd w:val="clear" w:color="auto" w:fill="EAF1DD" w:themeFill="accent3"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6222</w:t>
            </w:r>
          </w:p>
        </w:tc>
        <w:tc>
          <w:tcPr>
            <w:tcW w:w="1839" w:type="dxa"/>
            <w:noWrap/>
            <w:hideMark/>
          </w:tcPr>
          <w:p w:rsidR="00D5205A" w:rsidRPr="00ED4983" w:rsidRDefault="00D5205A" w:rsidP="00D73CDA">
            <w:pPr>
              <w:rPr>
                <w:rFonts w:ascii="Arial Narrow" w:hAnsi="Arial Narrow"/>
                <w:sz w:val="20"/>
              </w:rPr>
            </w:pPr>
            <w:r w:rsidRPr="00ED4983">
              <w:rPr>
                <w:rFonts w:ascii="Arial Narrow" w:hAnsi="Arial Narrow"/>
                <w:sz w:val="20"/>
              </w:rPr>
              <w:t> </w:t>
            </w:r>
          </w:p>
        </w:tc>
      </w:tr>
      <w:tr w:rsidR="00D5205A" w:rsidRPr="008E526B" w:rsidTr="00D5205A">
        <w:trPr>
          <w:trHeight w:val="300"/>
        </w:trPr>
        <w:tc>
          <w:tcPr>
            <w:tcW w:w="1211" w:type="dxa"/>
            <w:tcBorders>
              <w:bottom w:val="single" w:sz="4" w:space="0" w:color="auto"/>
            </w:tcBorders>
            <w:shd w:val="clear" w:color="auto" w:fill="D6E3BC" w:themeFill="accent3" w:themeFillTint="66"/>
            <w:noWrap/>
            <w:hideMark/>
          </w:tcPr>
          <w:p w:rsidR="00D5205A" w:rsidRPr="00ED4983" w:rsidRDefault="00D5205A" w:rsidP="00D73CDA">
            <w:pPr>
              <w:rPr>
                <w:rFonts w:ascii="Arial Narrow" w:hAnsi="Arial Narrow"/>
                <w:sz w:val="20"/>
              </w:rPr>
            </w:pPr>
            <w:r w:rsidRPr="00ED4983">
              <w:rPr>
                <w:rFonts w:ascii="Arial Narrow" w:hAnsi="Arial Narrow"/>
                <w:sz w:val="20"/>
              </w:rPr>
              <w:t>Total Stage III/IV</w:t>
            </w:r>
          </w:p>
        </w:tc>
        <w:tc>
          <w:tcPr>
            <w:tcW w:w="748" w:type="dxa"/>
            <w:tcBorders>
              <w:bottom w:val="single" w:sz="4" w:space="0" w:color="auto"/>
            </w:tcBorders>
            <w:shd w:val="clear" w:color="auto" w:fill="D6E3BC" w:themeFill="accent3" w:themeFillTint="66"/>
            <w:noWrap/>
            <w:hideMark/>
          </w:tcPr>
          <w:p w:rsidR="00D5205A" w:rsidRPr="00ED4983" w:rsidRDefault="00D5205A" w:rsidP="00D73CDA">
            <w:pPr>
              <w:rPr>
                <w:rFonts w:ascii="Arial Narrow" w:hAnsi="Arial Narrow"/>
                <w:sz w:val="20"/>
              </w:rPr>
            </w:pPr>
            <w:r w:rsidRPr="00ED4983">
              <w:rPr>
                <w:rFonts w:ascii="Arial Narrow" w:hAnsi="Arial Narrow"/>
                <w:sz w:val="20"/>
              </w:rPr>
              <w:t> </w:t>
            </w:r>
          </w:p>
        </w:tc>
        <w:tc>
          <w:tcPr>
            <w:tcW w:w="718" w:type="dxa"/>
            <w:tcBorders>
              <w:bottom w:val="single" w:sz="4" w:space="0" w:color="auto"/>
            </w:tcBorders>
            <w:shd w:val="clear" w:color="auto" w:fill="D6E3BC" w:themeFill="accent3" w:themeFillTint="66"/>
            <w:noWrap/>
            <w:hideMark/>
          </w:tcPr>
          <w:p w:rsidR="00D5205A" w:rsidRPr="00ED4983" w:rsidRDefault="00D5205A" w:rsidP="00D73CDA">
            <w:pPr>
              <w:jc w:val="right"/>
              <w:rPr>
                <w:rFonts w:ascii="Arial Narrow" w:hAnsi="Arial Narrow"/>
                <w:sz w:val="20"/>
              </w:rPr>
            </w:pPr>
            <w:r w:rsidRPr="00ED4983">
              <w:rPr>
                <w:rFonts w:ascii="Arial Narrow" w:hAnsi="Arial Narrow"/>
                <w:sz w:val="20"/>
              </w:rPr>
              <w:t>8374</w:t>
            </w:r>
          </w:p>
        </w:tc>
        <w:tc>
          <w:tcPr>
            <w:tcW w:w="718" w:type="dxa"/>
            <w:tcBorders>
              <w:bottom w:val="single" w:sz="4" w:space="0" w:color="auto"/>
            </w:tcBorders>
            <w:shd w:val="clear" w:color="auto" w:fill="D6E3BC" w:themeFill="accent3" w:themeFillTint="66"/>
            <w:noWrap/>
            <w:hideMark/>
          </w:tcPr>
          <w:p w:rsidR="00D5205A" w:rsidRPr="00ED4983" w:rsidRDefault="00D5205A" w:rsidP="00D73CDA">
            <w:pPr>
              <w:jc w:val="right"/>
              <w:rPr>
                <w:rFonts w:ascii="Arial Narrow" w:hAnsi="Arial Narrow"/>
                <w:sz w:val="20"/>
              </w:rPr>
            </w:pPr>
            <w:r w:rsidRPr="00ED4983">
              <w:rPr>
                <w:rFonts w:ascii="Arial Narrow" w:hAnsi="Arial Narrow"/>
                <w:sz w:val="20"/>
              </w:rPr>
              <w:t>8535</w:t>
            </w:r>
          </w:p>
        </w:tc>
        <w:tc>
          <w:tcPr>
            <w:tcW w:w="853" w:type="dxa"/>
            <w:tcBorders>
              <w:bottom w:val="single" w:sz="4" w:space="0" w:color="auto"/>
            </w:tcBorders>
            <w:shd w:val="clear" w:color="auto" w:fill="D6E3BC" w:themeFill="accent3" w:themeFillTint="66"/>
            <w:noWrap/>
            <w:hideMark/>
          </w:tcPr>
          <w:p w:rsidR="00D5205A" w:rsidRPr="00ED4983" w:rsidRDefault="00D5205A" w:rsidP="00D73CDA">
            <w:pPr>
              <w:jc w:val="right"/>
              <w:rPr>
                <w:rFonts w:ascii="Arial Narrow" w:hAnsi="Arial Narrow"/>
                <w:sz w:val="20"/>
              </w:rPr>
            </w:pPr>
            <w:r w:rsidRPr="00ED4983">
              <w:rPr>
                <w:rFonts w:ascii="Arial Narrow" w:hAnsi="Arial Narrow"/>
                <w:sz w:val="20"/>
              </w:rPr>
              <w:t>8696</w:t>
            </w:r>
          </w:p>
        </w:tc>
        <w:tc>
          <w:tcPr>
            <w:tcW w:w="778" w:type="dxa"/>
            <w:tcBorders>
              <w:bottom w:val="single" w:sz="4" w:space="0" w:color="auto"/>
            </w:tcBorders>
            <w:shd w:val="clear" w:color="auto" w:fill="D6E3BC" w:themeFill="accent3" w:themeFillTint="66"/>
            <w:noWrap/>
            <w:hideMark/>
          </w:tcPr>
          <w:p w:rsidR="00D5205A" w:rsidRPr="00ED4983" w:rsidRDefault="00D5205A" w:rsidP="00D73CDA">
            <w:pPr>
              <w:jc w:val="right"/>
              <w:rPr>
                <w:rFonts w:ascii="Arial Narrow" w:hAnsi="Arial Narrow"/>
                <w:sz w:val="20"/>
              </w:rPr>
            </w:pPr>
            <w:r w:rsidRPr="00ED4983">
              <w:rPr>
                <w:rFonts w:ascii="Arial Narrow" w:hAnsi="Arial Narrow"/>
                <w:sz w:val="20"/>
              </w:rPr>
              <w:t>8856</w:t>
            </w:r>
          </w:p>
        </w:tc>
        <w:tc>
          <w:tcPr>
            <w:tcW w:w="717" w:type="dxa"/>
            <w:tcBorders>
              <w:bottom w:val="single" w:sz="4" w:space="0" w:color="auto"/>
            </w:tcBorders>
            <w:shd w:val="clear" w:color="auto" w:fill="D6E3BC" w:themeFill="accent3" w:themeFillTint="66"/>
            <w:noWrap/>
            <w:hideMark/>
          </w:tcPr>
          <w:p w:rsidR="00D5205A" w:rsidRPr="00ED4983" w:rsidRDefault="00D5205A" w:rsidP="00D73CDA">
            <w:pPr>
              <w:jc w:val="right"/>
              <w:rPr>
                <w:rFonts w:ascii="Arial Narrow" w:hAnsi="Arial Narrow"/>
                <w:sz w:val="20"/>
              </w:rPr>
            </w:pPr>
            <w:r w:rsidRPr="00ED4983">
              <w:rPr>
                <w:rFonts w:ascii="Arial Narrow" w:hAnsi="Arial Narrow"/>
                <w:sz w:val="20"/>
              </w:rPr>
              <w:t>9017</w:t>
            </w:r>
          </w:p>
        </w:tc>
        <w:tc>
          <w:tcPr>
            <w:tcW w:w="717" w:type="dxa"/>
            <w:tcBorders>
              <w:bottom w:val="single" w:sz="4" w:space="0" w:color="auto"/>
            </w:tcBorders>
            <w:shd w:val="clear" w:color="auto" w:fill="D6E3BC" w:themeFill="accent3" w:themeFillTint="66"/>
            <w:noWrap/>
            <w:hideMark/>
          </w:tcPr>
          <w:p w:rsidR="00D5205A" w:rsidRPr="00ED4983" w:rsidRDefault="00D5205A" w:rsidP="00D73CDA">
            <w:pPr>
              <w:jc w:val="right"/>
              <w:rPr>
                <w:rFonts w:ascii="Arial Narrow" w:hAnsi="Arial Narrow"/>
                <w:sz w:val="20"/>
              </w:rPr>
            </w:pPr>
            <w:r w:rsidRPr="00ED4983">
              <w:rPr>
                <w:rFonts w:ascii="Arial Narrow" w:hAnsi="Arial Narrow"/>
                <w:sz w:val="20"/>
              </w:rPr>
              <w:t>9178</w:t>
            </w:r>
          </w:p>
        </w:tc>
        <w:tc>
          <w:tcPr>
            <w:tcW w:w="717" w:type="dxa"/>
            <w:tcBorders>
              <w:bottom w:val="single" w:sz="4" w:space="0" w:color="auto"/>
            </w:tcBorders>
            <w:shd w:val="clear" w:color="auto" w:fill="D6E3BC" w:themeFill="accent3" w:themeFillTint="66"/>
            <w:noWrap/>
            <w:hideMark/>
          </w:tcPr>
          <w:p w:rsidR="00D5205A" w:rsidRPr="00ED4983" w:rsidRDefault="00D5205A" w:rsidP="00D73CDA">
            <w:pPr>
              <w:jc w:val="right"/>
              <w:rPr>
                <w:rFonts w:ascii="Arial Narrow" w:hAnsi="Arial Narrow"/>
                <w:sz w:val="20"/>
              </w:rPr>
            </w:pPr>
            <w:r w:rsidRPr="00ED4983">
              <w:rPr>
                <w:rFonts w:ascii="Arial Narrow" w:hAnsi="Arial Narrow"/>
                <w:sz w:val="20"/>
              </w:rPr>
              <w:t>9339</w:t>
            </w:r>
          </w:p>
        </w:tc>
        <w:tc>
          <w:tcPr>
            <w:tcW w:w="1839" w:type="dxa"/>
            <w:noWrap/>
            <w:hideMark/>
          </w:tcPr>
          <w:p w:rsidR="00D5205A" w:rsidRPr="00ED4983" w:rsidRDefault="00D5205A" w:rsidP="00D73CDA">
            <w:pPr>
              <w:rPr>
                <w:rFonts w:ascii="Arial Narrow" w:hAnsi="Arial Narrow"/>
                <w:sz w:val="20"/>
              </w:rPr>
            </w:pPr>
            <w:r w:rsidRPr="00ED4983">
              <w:rPr>
                <w:rFonts w:ascii="Arial Narrow" w:hAnsi="Arial Narrow"/>
                <w:sz w:val="20"/>
              </w:rPr>
              <w:t> </w:t>
            </w:r>
          </w:p>
        </w:tc>
      </w:tr>
      <w:tr w:rsidR="00D5205A" w:rsidRPr="008E526B" w:rsidTr="00D5205A">
        <w:trPr>
          <w:trHeight w:val="1227"/>
        </w:trPr>
        <w:tc>
          <w:tcPr>
            <w:tcW w:w="7177" w:type="dxa"/>
            <w:gridSpan w:val="9"/>
            <w:tcBorders>
              <w:top w:val="single" w:sz="4" w:space="0" w:color="auto"/>
              <w:left w:val="single" w:sz="4" w:space="0" w:color="auto"/>
              <w:bottom w:val="single" w:sz="4" w:space="0" w:color="auto"/>
              <w:right w:val="single" w:sz="4" w:space="0" w:color="auto"/>
            </w:tcBorders>
            <w:noWrap/>
            <w:hideMark/>
          </w:tcPr>
          <w:p w:rsidR="00D5205A" w:rsidRPr="00ED4983" w:rsidRDefault="00D5205A" w:rsidP="00D73CDA">
            <w:pPr>
              <w:rPr>
                <w:rFonts w:ascii="Arial Narrow" w:hAnsi="Arial Narrow"/>
                <w:b/>
                <w:bCs/>
                <w:sz w:val="20"/>
              </w:rPr>
            </w:pPr>
            <w:r w:rsidRPr="00ED4983">
              <w:rPr>
                <w:rFonts w:ascii="Arial Narrow" w:hAnsi="Arial Narrow"/>
                <w:b/>
                <w:bCs/>
                <w:sz w:val="20"/>
              </w:rPr>
              <w:t>ECOG performance status score for NSCLC</w:t>
            </w:r>
          </w:p>
          <w:p w:rsidR="00D5205A" w:rsidRPr="00ED4983" w:rsidRDefault="00D5205A" w:rsidP="00D5205A">
            <w:pPr>
              <w:rPr>
                <w:rFonts w:ascii="Arial Narrow" w:hAnsi="Arial Narrow"/>
                <w:sz w:val="20"/>
              </w:rPr>
            </w:pPr>
            <w:r w:rsidRPr="00ED4983">
              <w:rPr>
                <w:rFonts w:ascii="Arial Narrow" w:hAnsi="Arial Narrow"/>
                <w:sz w:val="20"/>
              </w:rPr>
              <w:t> </w:t>
            </w:r>
            <w:r w:rsidRPr="00ED4983">
              <w:rPr>
                <w:rFonts w:ascii="Arial Narrow" w:hAnsi="Arial Narrow"/>
                <w:sz w:val="20"/>
              </w:rPr>
              <w:tab/>
              <w:t> </w:t>
            </w:r>
          </w:p>
        </w:tc>
        <w:tc>
          <w:tcPr>
            <w:tcW w:w="1839" w:type="dxa"/>
            <w:tcBorders>
              <w:left w:val="single" w:sz="4" w:space="0" w:color="auto"/>
            </w:tcBorders>
            <w:noWrap/>
            <w:hideMark/>
          </w:tcPr>
          <w:p w:rsidR="00D5205A" w:rsidRPr="00ED4983" w:rsidRDefault="00D5205A" w:rsidP="00D5205A">
            <w:pPr>
              <w:rPr>
                <w:rFonts w:ascii="Arial Narrow" w:hAnsi="Arial Narrow"/>
                <w:color w:val="0000FF" w:themeColor="hyperlink"/>
                <w:sz w:val="20"/>
                <w:u w:val="single"/>
              </w:rPr>
            </w:pPr>
            <w:r w:rsidRPr="00ED4983">
              <w:rPr>
                <w:rStyle w:val="Hyperlink"/>
                <w:rFonts w:ascii="Arial Narrow" w:hAnsi="Arial Narrow"/>
                <w:sz w:val="20"/>
              </w:rPr>
              <w:t>Mitchell et al. (2013). Source previously accepted by PBAC.</w:t>
            </w:r>
          </w:p>
        </w:tc>
      </w:tr>
      <w:tr w:rsidR="00D5205A" w:rsidRPr="008E526B" w:rsidTr="00D5205A">
        <w:trPr>
          <w:trHeight w:val="300"/>
        </w:trPr>
        <w:tc>
          <w:tcPr>
            <w:tcW w:w="1211" w:type="dxa"/>
            <w:tcBorders>
              <w:top w:val="single" w:sz="4" w:space="0" w:color="auto"/>
              <w:bottom w:val="single" w:sz="4" w:space="0" w:color="auto"/>
            </w:tcBorders>
            <w:shd w:val="clear" w:color="auto" w:fill="E5DFEC" w:themeFill="accent4" w:themeFillTint="33"/>
            <w:hideMark/>
          </w:tcPr>
          <w:p w:rsidR="00D5205A" w:rsidRPr="00ED4983" w:rsidRDefault="00D5205A" w:rsidP="00D73CDA">
            <w:pPr>
              <w:rPr>
                <w:rFonts w:ascii="Arial Narrow" w:hAnsi="Arial Narrow"/>
                <w:sz w:val="20"/>
              </w:rPr>
            </w:pPr>
            <w:r w:rsidRPr="00ED4983">
              <w:rPr>
                <w:rFonts w:ascii="Arial Narrow" w:hAnsi="Arial Narrow"/>
                <w:sz w:val="20"/>
              </w:rPr>
              <w:t>0-1</w:t>
            </w:r>
          </w:p>
        </w:tc>
        <w:tc>
          <w:tcPr>
            <w:tcW w:w="748" w:type="dxa"/>
            <w:tcBorders>
              <w:top w:val="single" w:sz="4" w:space="0" w:color="auto"/>
              <w:bottom w:val="single" w:sz="4" w:space="0" w:color="auto"/>
            </w:tcBorders>
            <w:shd w:val="clear" w:color="auto" w:fill="E5DFEC" w:themeFill="accent4" w:themeFillTint="33"/>
            <w:hideMark/>
          </w:tcPr>
          <w:p w:rsidR="00D5205A" w:rsidRPr="00ED4983" w:rsidRDefault="00D5205A" w:rsidP="00D73CDA">
            <w:pPr>
              <w:rPr>
                <w:rFonts w:ascii="Arial Narrow" w:hAnsi="Arial Narrow"/>
                <w:sz w:val="20"/>
              </w:rPr>
            </w:pPr>
            <w:r w:rsidRPr="00ED4983">
              <w:rPr>
                <w:rFonts w:ascii="Arial Narrow" w:hAnsi="Arial Narrow"/>
                <w:sz w:val="20"/>
              </w:rPr>
              <w:t>63.3%</w:t>
            </w:r>
          </w:p>
        </w:tc>
        <w:tc>
          <w:tcPr>
            <w:tcW w:w="718" w:type="dxa"/>
            <w:tcBorders>
              <w:top w:val="single" w:sz="4" w:space="0" w:color="auto"/>
              <w:bottom w:val="single" w:sz="4" w:space="0" w:color="auto"/>
            </w:tcBorders>
            <w:shd w:val="clear" w:color="auto" w:fill="E5DFEC" w:themeFill="accent4" w:themeFillTint="33"/>
            <w:hideMark/>
          </w:tcPr>
          <w:p w:rsidR="00D5205A" w:rsidRPr="00ED4983" w:rsidRDefault="00D5205A" w:rsidP="00D73CDA">
            <w:pPr>
              <w:jc w:val="right"/>
              <w:rPr>
                <w:rFonts w:ascii="Arial Narrow" w:hAnsi="Arial Narrow"/>
                <w:sz w:val="20"/>
              </w:rPr>
            </w:pPr>
            <w:r w:rsidRPr="00ED4983">
              <w:rPr>
                <w:rFonts w:ascii="Arial Narrow" w:hAnsi="Arial Narrow"/>
                <w:sz w:val="20"/>
              </w:rPr>
              <w:t>5301</w:t>
            </w:r>
          </w:p>
        </w:tc>
        <w:tc>
          <w:tcPr>
            <w:tcW w:w="718" w:type="dxa"/>
            <w:tcBorders>
              <w:top w:val="single" w:sz="4" w:space="0" w:color="auto"/>
              <w:bottom w:val="single" w:sz="4" w:space="0" w:color="auto"/>
            </w:tcBorders>
            <w:shd w:val="clear" w:color="auto" w:fill="E5DFEC" w:themeFill="accent4"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5402</w:t>
            </w:r>
          </w:p>
        </w:tc>
        <w:tc>
          <w:tcPr>
            <w:tcW w:w="853" w:type="dxa"/>
            <w:tcBorders>
              <w:top w:val="single" w:sz="4" w:space="0" w:color="auto"/>
              <w:bottom w:val="single" w:sz="4" w:space="0" w:color="auto"/>
            </w:tcBorders>
            <w:shd w:val="clear" w:color="auto" w:fill="E5DFEC" w:themeFill="accent4"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5504</w:t>
            </w:r>
          </w:p>
        </w:tc>
        <w:tc>
          <w:tcPr>
            <w:tcW w:w="778" w:type="dxa"/>
            <w:tcBorders>
              <w:top w:val="single" w:sz="4" w:space="0" w:color="auto"/>
              <w:bottom w:val="single" w:sz="4" w:space="0" w:color="auto"/>
            </w:tcBorders>
            <w:shd w:val="clear" w:color="auto" w:fill="E5DFEC" w:themeFill="accent4"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5606</w:t>
            </w:r>
          </w:p>
        </w:tc>
        <w:tc>
          <w:tcPr>
            <w:tcW w:w="717" w:type="dxa"/>
            <w:tcBorders>
              <w:top w:val="single" w:sz="4" w:space="0" w:color="auto"/>
              <w:bottom w:val="single" w:sz="4" w:space="0" w:color="auto"/>
            </w:tcBorders>
            <w:shd w:val="clear" w:color="auto" w:fill="E5DFEC" w:themeFill="accent4"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5708</w:t>
            </w:r>
          </w:p>
        </w:tc>
        <w:tc>
          <w:tcPr>
            <w:tcW w:w="717" w:type="dxa"/>
            <w:tcBorders>
              <w:top w:val="single" w:sz="4" w:space="0" w:color="auto"/>
              <w:bottom w:val="single" w:sz="4" w:space="0" w:color="auto"/>
            </w:tcBorders>
            <w:shd w:val="clear" w:color="auto" w:fill="E5DFEC" w:themeFill="accent4"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5810</w:t>
            </w:r>
          </w:p>
        </w:tc>
        <w:tc>
          <w:tcPr>
            <w:tcW w:w="717" w:type="dxa"/>
            <w:tcBorders>
              <w:top w:val="single" w:sz="4" w:space="0" w:color="auto"/>
              <w:bottom w:val="single" w:sz="4" w:space="0" w:color="auto"/>
            </w:tcBorders>
            <w:shd w:val="clear" w:color="auto" w:fill="E5DFEC" w:themeFill="accent4" w:themeFillTint="33"/>
            <w:noWrap/>
            <w:hideMark/>
          </w:tcPr>
          <w:p w:rsidR="00D5205A" w:rsidRPr="00ED4983" w:rsidRDefault="00D5205A" w:rsidP="00D73CDA">
            <w:pPr>
              <w:jc w:val="right"/>
              <w:rPr>
                <w:rFonts w:ascii="Arial Narrow" w:hAnsi="Arial Narrow"/>
                <w:sz w:val="20"/>
              </w:rPr>
            </w:pPr>
            <w:r w:rsidRPr="00ED4983">
              <w:rPr>
                <w:rFonts w:ascii="Arial Narrow" w:hAnsi="Arial Narrow"/>
                <w:sz w:val="20"/>
              </w:rPr>
              <w:t>5912</w:t>
            </w:r>
          </w:p>
        </w:tc>
        <w:tc>
          <w:tcPr>
            <w:tcW w:w="1839" w:type="dxa"/>
            <w:noWrap/>
            <w:hideMark/>
          </w:tcPr>
          <w:p w:rsidR="00D5205A" w:rsidRPr="00ED4983" w:rsidRDefault="00D5205A" w:rsidP="00D73CDA">
            <w:pPr>
              <w:rPr>
                <w:rFonts w:ascii="Arial Narrow" w:hAnsi="Arial Narrow"/>
                <w:sz w:val="20"/>
              </w:rPr>
            </w:pPr>
            <w:r w:rsidRPr="00ED4983">
              <w:rPr>
                <w:rFonts w:ascii="Arial Narrow" w:hAnsi="Arial Narrow"/>
                <w:sz w:val="20"/>
              </w:rPr>
              <w:t> </w:t>
            </w:r>
          </w:p>
        </w:tc>
      </w:tr>
      <w:tr w:rsidR="00D5205A" w:rsidRPr="008E526B" w:rsidTr="00D5205A">
        <w:trPr>
          <w:trHeight w:val="484"/>
        </w:trPr>
        <w:tc>
          <w:tcPr>
            <w:tcW w:w="7177" w:type="dxa"/>
            <w:gridSpan w:val="9"/>
            <w:tcBorders>
              <w:top w:val="single" w:sz="4" w:space="0" w:color="auto"/>
              <w:left w:val="single" w:sz="4" w:space="0" w:color="auto"/>
              <w:bottom w:val="single" w:sz="4" w:space="0" w:color="auto"/>
              <w:right w:val="single" w:sz="4" w:space="0" w:color="auto"/>
            </w:tcBorders>
            <w:noWrap/>
            <w:hideMark/>
          </w:tcPr>
          <w:p w:rsidR="00D5205A" w:rsidRPr="00ED4983" w:rsidRDefault="00D5205A" w:rsidP="00D5205A">
            <w:pPr>
              <w:rPr>
                <w:rFonts w:ascii="Arial Narrow" w:hAnsi="Arial Narrow"/>
                <w:b/>
                <w:bCs/>
                <w:sz w:val="20"/>
              </w:rPr>
            </w:pPr>
            <w:r w:rsidRPr="00ED4983">
              <w:rPr>
                <w:rFonts w:ascii="Arial Narrow" w:hAnsi="Arial Narrow"/>
                <w:b/>
                <w:bCs/>
                <w:sz w:val="20"/>
              </w:rPr>
              <w:t>Proportion opting for treatment</w:t>
            </w:r>
            <w:r w:rsidRPr="00ED4983">
              <w:rPr>
                <w:rFonts w:ascii="Arial Narrow" w:hAnsi="Arial Narrow"/>
                <w:sz w:val="20"/>
              </w:rPr>
              <w:tab/>
              <w:t> </w:t>
            </w:r>
          </w:p>
          <w:p w:rsidR="00D5205A" w:rsidRPr="00ED4983" w:rsidRDefault="00D5205A" w:rsidP="00D73CDA">
            <w:pPr>
              <w:jc w:val="right"/>
              <w:rPr>
                <w:rFonts w:ascii="Arial Narrow" w:hAnsi="Arial Narrow"/>
                <w:sz w:val="20"/>
              </w:rPr>
            </w:pPr>
            <w:r w:rsidRPr="00ED4983">
              <w:rPr>
                <w:rFonts w:ascii="Arial Narrow" w:hAnsi="Arial Narrow"/>
                <w:sz w:val="20"/>
              </w:rPr>
              <w:t> </w:t>
            </w:r>
          </w:p>
        </w:tc>
        <w:tc>
          <w:tcPr>
            <w:tcW w:w="1839" w:type="dxa"/>
            <w:tcBorders>
              <w:left w:val="single" w:sz="4" w:space="0" w:color="auto"/>
            </w:tcBorders>
            <w:noWrap/>
            <w:hideMark/>
          </w:tcPr>
          <w:p w:rsidR="00D5205A" w:rsidRPr="00ED4983" w:rsidRDefault="00D5205A" w:rsidP="00D5205A">
            <w:pPr>
              <w:rPr>
                <w:rFonts w:ascii="Arial Narrow" w:hAnsi="Arial Narrow"/>
                <w:sz w:val="20"/>
              </w:rPr>
            </w:pPr>
            <w:r w:rsidRPr="00ED4983">
              <w:rPr>
                <w:rFonts w:ascii="Arial Narrow" w:hAnsi="Arial Narrow"/>
                <w:sz w:val="20"/>
              </w:rPr>
              <w:t> </w:t>
            </w:r>
          </w:p>
          <w:p w:rsidR="00D5205A" w:rsidRPr="00ED4983" w:rsidRDefault="00D5205A" w:rsidP="00D5205A">
            <w:pPr>
              <w:rPr>
                <w:rFonts w:ascii="Arial Narrow" w:hAnsi="Arial Narrow"/>
                <w:sz w:val="20"/>
              </w:rPr>
            </w:pPr>
          </w:p>
        </w:tc>
      </w:tr>
      <w:tr w:rsidR="00D5205A" w:rsidRPr="008E526B" w:rsidTr="00D5205A">
        <w:trPr>
          <w:trHeight w:val="300"/>
        </w:trPr>
        <w:tc>
          <w:tcPr>
            <w:tcW w:w="1211" w:type="dxa"/>
            <w:tcBorders>
              <w:top w:val="single" w:sz="4" w:space="0" w:color="auto"/>
            </w:tcBorders>
            <w:shd w:val="clear" w:color="auto" w:fill="CCC0D9" w:themeFill="accent4" w:themeFillTint="66"/>
            <w:noWrap/>
            <w:hideMark/>
          </w:tcPr>
          <w:p w:rsidR="00D5205A" w:rsidRPr="00ED4983" w:rsidRDefault="00D5205A" w:rsidP="00D73CDA">
            <w:pPr>
              <w:rPr>
                <w:rFonts w:ascii="Arial Narrow" w:hAnsi="Arial Narrow"/>
                <w:sz w:val="20"/>
              </w:rPr>
            </w:pPr>
            <w:r w:rsidRPr="00ED4983">
              <w:rPr>
                <w:rFonts w:ascii="Arial Narrow" w:hAnsi="Arial Narrow"/>
                <w:sz w:val="20"/>
              </w:rPr>
              <w:t> </w:t>
            </w:r>
          </w:p>
        </w:tc>
        <w:tc>
          <w:tcPr>
            <w:tcW w:w="748" w:type="dxa"/>
            <w:tcBorders>
              <w:top w:val="single" w:sz="4" w:space="0" w:color="auto"/>
            </w:tcBorders>
            <w:shd w:val="clear" w:color="auto" w:fill="CCC0D9" w:themeFill="accent4" w:themeFillTint="66"/>
            <w:noWrap/>
            <w:hideMark/>
          </w:tcPr>
          <w:p w:rsidR="00D5205A" w:rsidRPr="00ED4983" w:rsidRDefault="00D5205A" w:rsidP="00D73CDA">
            <w:pPr>
              <w:rPr>
                <w:rFonts w:ascii="Arial Narrow" w:hAnsi="Arial Narrow"/>
                <w:sz w:val="20"/>
              </w:rPr>
            </w:pPr>
            <w:r w:rsidRPr="00ED4983">
              <w:rPr>
                <w:rFonts w:ascii="Arial Narrow" w:hAnsi="Arial Narrow"/>
                <w:sz w:val="20"/>
              </w:rPr>
              <w:t>85%</w:t>
            </w:r>
          </w:p>
        </w:tc>
        <w:tc>
          <w:tcPr>
            <w:tcW w:w="718" w:type="dxa"/>
            <w:tcBorders>
              <w:top w:val="single" w:sz="4" w:space="0" w:color="auto"/>
            </w:tcBorders>
            <w:shd w:val="clear" w:color="auto" w:fill="CCC0D9" w:themeFill="accent4" w:themeFillTint="66"/>
            <w:noWrap/>
            <w:hideMark/>
          </w:tcPr>
          <w:p w:rsidR="00D5205A" w:rsidRPr="00ED4983" w:rsidRDefault="00D5205A" w:rsidP="00D73CDA">
            <w:pPr>
              <w:jc w:val="right"/>
              <w:rPr>
                <w:rFonts w:ascii="Arial Narrow" w:hAnsi="Arial Narrow"/>
                <w:sz w:val="20"/>
              </w:rPr>
            </w:pPr>
            <w:r w:rsidRPr="00ED4983">
              <w:rPr>
                <w:rFonts w:ascii="Arial Narrow" w:hAnsi="Arial Narrow"/>
                <w:sz w:val="20"/>
              </w:rPr>
              <w:t>4506</w:t>
            </w:r>
          </w:p>
        </w:tc>
        <w:tc>
          <w:tcPr>
            <w:tcW w:w="718" w:type="dxa"/>
            <w:tcBorders>
              <w:top w:val="single" w:sz="4" w:space="0" w:color="auto"/>
            </w:tcBorders>
            <w:shd w:val="clear" w:color="auto" w:fill="CCC0D9" w:themeFill="accent4" w:themeFillTint="66"/>
            <w:noWrap/>
            <w:hideMark/>
          </w:tcPr>
          <w:p w:rsidR="00D5205A" w:rsidRPr="00ED4983" w:rsidRDefault="00D5205A" w:rsidP="00D73CDA">
            <w:pPr>
              <w:jc w:val="right"/>
              <w:rPr>
                <w:rFonts w:ascii="Arial Narrow" w:hAnsi="Arial Narrow"/>
                <w:sz w:val="20"/>
              </w:rPr>
            </w:pPr>
            <w:r w:rsidRPr="00ED4983">
              <w:rPr>
                <w:rFonts w:ascii="Arial Narrow" w:hAnsi="Arial Narrow"/>
                <w:sz w:val="20"/>
              </w:rPr>
              <w:t>4592</w:t>
            </w:r>
          </w:p>
        </w:tc>
        <w:tc>
          <w:tcPr>
            <w:tcW w:w="853" w:type="dxa"/>
            <w:tcBorders>
              <w:top w:val="single" w:sz="4" w:space="0" w:color="auto"/>
            </w:tcBorders>
            <w:shd w:val="clear" w:color="auto" w:fill="CCC0D9" w:themeFill="accent4" w:themeFillTint="66"/>
            <w:noWrap/>
            <w:hideMark/>
          </w:tcPr>
          <w:p w:rsidR="00D5205A" w:rsidRPr="00ED4983" w:rsidRDefault="00D5205A" w:rsidP="00D73CDA">
            <w:pPr>
              <w:jc w:val="right"/>
              <w:rPr>
                <w:rFonts w:ascii="Arial Narrow" w:hAnsi="Arial Narrow"/>
                <w:sz w:val="20"/>
              </w:rPr>
            </w:pPr>
            <w:r w:rsidRPr="00ED4983">
              <w:rPr>
                <w:rFonts w:ascii="Arial Narrow" w:hAnsi="Arial Narrow"/>
                <w:sz w:val="20"/>
              </w:rPr>
              <w:t>4679</w:t>
            </w:r>
          </w:p>
        </w:tc>
        <w:tc>
          <w:tcPr>
            <w:tcW w:w="778" w:type="dxa"/>
            <w:tcBorders>
              <w:top w:val="single" w:sz="4" w:space="0" w:color="auto"/>
            </w:tcBorders>
            <w:shd w:val="clear" w:color="auto" w:fill="CCC0D9" w:themeFill="accent4" w:themeFillTint="66"/>
            <w:noWrap/>
            <w:hideMark/>
          </w:tcPr>
          <w:p w:rsidR="00D5205A" w:rsidRPr="00ED4983" w:rsidRDefault="00D5205A" w:rsidP="00D73CDA">
            <w:pPr>
              <w:jc w:val="right"/>
              <w:rPr>
                <w:rFonts w:ascii="Arial Narrow" w:hAnsi="Arial Narrow"/>
                <w:sz w:val="20"/>
              </w:rPr>
            </w:pPr>
            <w:r w:rsidRPr="00ED4983">
              <w:rPr>
                <w:rFonts w:ascii="Arial Narrow" w:hAnsi="Arial Narrow"/>
                <w:sz w:val="20"/>
              </w:rPr>
              <w:t>4765</w:t>
            </w:r>
          </w:p>
        </w:tc>
        <w:tc>
          <w:tcPr>
            <w:tcW w:w="717" w:type="dxa"/>
            <w:tcBorders>
              <w:top w:val="single" w:sz="4" w:space="0" w:color="auto"/>
            </w:tcBorders>
            <w:shd w:val="clear" w:color="auto" w:fill="CCC0D9" w:themeFill="accent4" w:themeFillTint="66"/>
            <w:noWrap/>
            <w:hideMark/>
          </w:tcPr>
          <w:p w:rsidR="00D5205A" w:rsidRPr="00ED4983" w:rsidRDefault="00D5205A" w:rsidP="00D73CDA">
            <w:pPr>
              <w:jc w:val="right"/>
              <w:rPr>
                <w:rFonts w:ascii="Arial Narrow" w:hAnsi="Arial Narrow"/>
                <w:sz w:val="20"/>
              </w:rPr>
            </w:pPr>
            <w:r w:rsidRPr="00ED4983">
              <w:rPr>
                <w:rFonts w:ascii="Arial Narrow" w:hAnsi="Arial Narrow"/>
                <w:sz w:val="20"/>
              </w:rPr>
              <w:t>4852</w:t>
            </w:r>
          </w:p>
        </w:tc>
        <w:tc>
          <w:tcPr>
            <w:tcW w:w="717" w:type="dxa"/>
            <w:tcBorders>
              <w:top w:val="single" w:sz="4" w:space="0" w:color="auto"/>
            </w:tcBorders>
            <w:shd w:val="clear" w:color="auto" w:fill="CCC0D9" w:themeFill="accent4" w:themeFillTint="66"/>
            <w:noWrap/>
            <w:hideMark/>
          </w:tcPr>
          <w:p w:rsidR="00D5205A" w:rsidRPr="00ED4983" w:rsidRDefault="00D5205A" w:rsidP="00D73CDA">
            <w:pPr>
              <w:jc w:val="right"/>
              <w:rPr>
                <w:rFonts w:ascii="Arial Narrow" w:hAnsi="Arial Narrow"/>
                <w:sz w:val="20"/>
              </w:rPr>
            </w:pPr>
            <w:r w:rsidRPr="00ED4983">
              <w:rPr>
                <w:rFonts w:ascii="Arial Narrow" w:hAnsi="Arial Narrow"/>
                <w:sz w:val="20"/>
              </w:rPr>
              <w:t>4938</w:t>
            </w:r>
          </w:p>
        </w:tc>
        <w:tc>
          <w:tcPr>
            <w:tcW w:w="717" w:type="dxa"/>
            <w:tcBorders>
              <w:top w:val="single" w:sz="4" w:space="0" w:color="auto"/>
            </w:tcBorders>
            <w:shd w:val="clear" w:color="auto" w:fill="CCC0D9" w:themeFill="accent4" w:themeFillTint="66"/>
            <w:noWrap/>
            <w:hideMark/>
          </w:tcPr>
          <w:p w:rsidR="00D5205A" w:rsidRPr="00ED4983" w:rsidRDefault="00D5205A" w:rsidP="00D73CDA">
            <w:pPr>
              <w:jc w:val="right"/>
              <w:rPr>
                <w:rFonts w:ascii="Arial Narrow" w:hAnsi="Arial Narrow"/>
                <w:sz w:val="20"/>
              </w:rPr>
            </w:pPr>
            <w:r w:rsidRPr="00ED4983">
              <w:rPr>
                <w:rFonts w:ascii="Arial Narrow" w:hAnsi="Arial Narrow"/>
                <w:sz w:val="20"/>
              </w:rPr>
              <w:t>5025</w:t>
            </w:r>
          </w:p>
        </w:tc>
        <w:tc>
          <w:tcPr>
            <w:tcW w:w="1839" w:type="dxa"/>
            <w:noWrap/>
            <w:hideMark/>
          </w:tcPr>
          <w:p w:rsidR="00D5205A" w:rsidRPr="00ED4983" w:rsidRDefault="00D5205A" w:rsidP="00D73CDA">
            <w:pPr>
              <w:rPr>
                <w:rFonts w:ascii="Arial Narrow" w:hAnsi="Arial Narrow"/>
                <w:sz w:val="20"/>
              </w:rPr>
            </w:pPr>
            <w:r w:rsidRPr="00ED4983">
              <w:rPr>
                <w:rFonts w:ascii="Arial Narrow" w:hAnsi="Arial Narrow"/>
                <w:sz w:val="20"/>
              </w:rPr>
              <w:t>Assumption, previously accepted by PBAC</w:t>
            </w:r>
          </w:p>
        </w:tc>
      </w:tr>
    </w:tbl>
    <w:p w:rsidR="003C6F02" w:rsidRPr="00AC7125" w:rsidRDefault="00AC7125" w:rsidP="007A36B5">
      <w:pPr>
        <w:rPr>
          <w:sz w:val="18"/>
        </w:rPr>
      </w:pPr>
      <w:r w:rsidRPr="00AC7125">
        <w:rPr>
          <w:sz w:val="18"/>
        </w:rPr>
        <w:t>ECOG= Eastern Cooperative Oncology Group</w:t>
      </w:r>
    </w:p>
    <w:p w:rsidR="007A36B5" w:rsidRPr="008E526B" w:rsidRDefault="00D760F8" w:rsidP="007A36B5">
      <w:r w:rsidRPr="008E526B">
        <w:t>At</w:t>
      </w:r>
      <w:r w:rsidR="002F6AA1" w:rsidRPr="008E526B">
        <w:t xml:space="preserve"> the</w:t>
      </w:r>
      <w:r w:rsidR="00897060" w:rsidRPr="008E526B">
        <w:t xml:space="preserve"> November 2018 PBAC meeting</w:t>
      </w:r>
      <w:r w:rsidR="0068675F">
        <w:t>, the Committee noted</w:t>
      </w:r>
      <w:r w:rsidR="00612785" w:rsidRPr="008E526B">
        <w:t xml:space="preserve"> the</w:t>
      </w:r>
      <w:r w:rsidR="0068675F">
        <w:t xml:space="preserve"> likelihood of</w:t>
      </w:r>
      <w:r w:rsidR="00612785" w:rsidRPr="008E526B">
        <w:t xml:space="preserve"> </w:t>
      </w:r>
      <w:r w:rsidR="003C6F02" w:rsidRPr="008E526B">
        <w:t>further</w:t>
      </w:r>
      <w:r w:rsidR="00970F81" w:rsidRPr="008E526B">
        <w:t xml:space="preserve"> </w:t>
      </w:r>
      <w:r w:rsidR="00897060" w:rsidRPr="008E526B">
        <w:t>PD-(L)1 inhibitor submissions for NSCLC</w:t>
      </w:r>
      <w:r w:rsidR="007A36B5" w:rsidRPr="008E526B">
        <w:t xml:space="preserve">, </w:t>
      </w:r>
      <w:r w:rsidR="0068675F">
        <w:t>and agreed to advise</w:t>
      </w:r>
      <w:r w:rsidR="007A36B5" w:rsidRPr="008E526B">
        <w:t xml:space="preserve"> the Minister</w:t>
      </w:r>
      <w:r w:rsidR="00AC7125">
        <w:t xml:space="preserve"> to</w:t>
      </w:r>
      <w:r w:rsidR="003C6F02" w:rsidRPr="008E526B">
        <w:t xml:space="preserve"> </w:t>
      </w:r>
      <w:r w:rsidR="007A36B5" w:rsidRPr="008E526B">
        <w:t>examine the potential for a broad PBS subsidy listing for PD-(L)1 checkpoint inhibitors in NSCLC</w:t>
      </w:r>
      <w:r w:rsidR="00897060" w:rsidRPr="008E526B">
        <w:t>.</w:t>
      </w:r>
      <w:r w:rsidR="00970F81" w:rsidRPr="008E526B">
        <w:t xml:space="preserve">  The PBAC noted that s</w:t>
      </w:r>
      <w:r w:rsidR="007A36B5" w:rsidRPr="008E526B">
        <w:t>ubstantial evidence and experience is now available for four PD-(L</w:t>
      </w:r>
      <w:proofErr w:type="gramStart"/>
      <w:r w:rsidR="007A36B5" w:rsidRPr="008E526B">
        <w:t>)1</w:t>
      </w:r>
      <w:proofErr w:type="gramEnd"/>
      <w:r w:rsidR="007A36B5" w:rsidRPr="008E526B">
        <w:t xml:space="preserve"> medicines in this setting.  </w:t>
      </w:r>
      <w:r w:rsidR="00612785" w:rsidRPr="008E526B">
        <w:t xml:space="preserve">A broad listing </w:t>
      </w:r>
      <w:r w:rsidR="007A36B5" w:rsidRPr="008E526B">
        <w:t>would allow patients with NSCLC of WHO performance status 0 and 1, access to a single course of treatment with a PD-(L)1 inhibitor, irrespective of disease stage (unresectable stage III or IV), biomarker status, line of treatment (adjuvant, 1st or later line), and with or without concomitant cytotoxic therapy.</w:t>
      </w:r>
    </w:p>
    <w:p w:rsidR="007A36B5" w:rsidRPr="008E526B" w:rsidRDefault="007A36B5" w:rsidP="007A36B5">
      <w:r w:rsidRPr="008E526B">
        <w:t>In providing its advice, the PBAC noted that a broad listing had the potential to:</w:t>
      </w:r>
    </w:p>
    <w:p w:rsidR="007A36B5" w:rsidRPr="008E526B" w:rsidRDefault="007A36B5" w:rsidP="007A36B5">
      <w:pPr>
        <w:pStyle w:val="ListParagraph"/>
        <w:numPr>
          <w:ilvl w:val="0"/>
          <w:numId w:val="2"/>
        </w:numPr>
      </w:pPr>
      <w:r w:rsidRPr="008E526B">
        <w:t xml:space="preserve">Allow clinicians and patients to make their own decisions regarding best treatment; </w:t>
      </w:r>
    </w:p>
    <w:p w:rsidR="007A36B5" w:rsidRPr="008E526B" w:rsidRDefault="007A36B5" w:rsidP="007A36B5">
      <w:pPr>
        <w:pStyle w:val="ListParagraph"/>
        <w:numPr>
          <w:ilvl w:val="0"/>
          <w:numId w:val="2"/>
        </w:numPr>
      </w:pPr>
      <w:r w:rsidRPr="008E526B">
        <w:t xml:space="preserve">Simplify administrative burden; </w:t>
      </w:r>
    </w:p>
    <w:p w:rsidR="007A36B5" w:rsidRPr="008E526B" w:rsidRDefault="007A36B5" w:rsidP="007A36B5">
      <w:pPr>
        <w:pStyle w:val="ListParagraph"/>
        <w:numPr>
          <w:ilvl w:val="0"/>
          <w:numId w:val="2"/>
        </w:numPr>
      </w:pPr>
      <w:r w:rsidRPr="008E526B">
        <w:t xml:space="preserve">Rapidly accommodate advances in treatment practice; and </w:t>
      </w:r>
    </w:p>
    <w:p w:rsidR="007A36B5" w:rsidRDefault="007A36B5" w:rsidP="007A36B5">
      <w:pPr>
        <w:pStyle w:val="ListParagraph"/>
        <w:numPr>
          <w:ilvl w:val="0"/>
          <w:numId w:val="2"/>
        </w:numPr>
      </w:pPr>
      <w:r w:rsidRPr="008E526B">
        <w:t>Support innovation and competition.</w:t>
      </w:r>
    </w:p>
    <w:p w:rsidR="00D762A4" w:rsidRDefault="00D762A4" w:rsidP="007A36B5"/>
    <w:p w:rsidR="00D762A4" w:rsidRDefault="00D762A4" w:rsidP="007A36B5"/>
    <w:p w:rsidR="007A36B5" w:rsidRPr="008E526B" w:rsidRDefault="007A36B5" w:rsidP="007A36B5">
      <w:bookmarkStart w:id="0" w:name="_GoBack"/>
      <w:bookmarkEnd w:id="0"/>
      <w:r w:rsidRPr="008E526B">
        <w:t xml:space="preserve">The PBAC also noted the need to achieve a price per patient and overall cost to </w:t>
      </w:r>
      <w:r w:rsidR="00CC3A8E" w:rsidRPr="008E526B">
        <w:t>government, which</w:t>
      </w:r>
      <w:r w:rsidRPr="008E526B">
        <w:t xml:space="preserve"> is justified by the currently available evidence.  The PBAC recommended overall financial caps be put in place to manage the risks associated with a broad listing approach, in particular the risk that patients will be treated with sequential courses of PD-(L)1 therapy</w:t>
      </w:r>
      <w:r w:rsidR="00612785" w:rsidRPr="008E526B">
        <w:t xml:space="preserve">, for which no evidence </w:t>
      </w:r>
      <w:r w:rsidR="00D760F8" w:rsidRPr="008E526B">
        <w:t>has y</w:t>
      </w:r>
      <w:r w:rsidR="00612785" w:rsidRPr="008E526B">
        <w:t>e</w:t>
      </w:r>
      <w:r w:rsidR="00D760F8" w:rsidRPr="008E526B">
        <w:t>t been put to PBAC</w:t>
      </w:r>
      <w:r w:rsidRPr="008E526B">
        <w:t>.</w:t>
      </w:r>
    </w:p>
    <w:p w:rsidR="007A36B5" w:rsidRPr="008E526B" w:rsidRDefault="007A36B5" w:rsidP="007A36B5">
      <w:pPr>
        <w:pStyle w:val="Heading2"/>
      </w:pPr>
      <w:r w:rsidRPr="008E526B">
        <w:t>Summary of discussion</w:t>
      </w:r>
    </w:p>
    <w:p w:rsidR="00EC00E4" w:rsidRPr="008E526B" w:rsidRDefault="00AA255A">
      <w:r w:rsidRPr="008E526B">
        <w:t xml:space="preserve">Overall, </w:t>
      </w:r>
      <w:r w:rsidR="00EC00E4" w:rsidRPr="008E526B">
        <w:t xml:space="preserve">stakeholders </w:t>
      </w:r>
      <w:r w:rsidR="00CD2F6E" w:rsidRPr="008E526B">
        <w:t xml:space="preserve">expressed </w:t>
      </w:r>
      <w:r w:rsidR="00E20212" w:rsidRPr="008E526B">
        <w:t xml:space="preserve">an </w:t>
      </w:r>
      <w:r w:rsidR="00CD2F6E" w:rsidRPr="008E526B">
        <w:t>interest in</w:t>
      </w:r>
      <w:r w:rsidR="004357AC" w:rsidRPr="008E526B">
        <w:t xml:space="preserve"> </w:t>
      </w:r>
      <w:r w:rsidR="00CC4EC8" w:rsidRPr="008E526B">
        <w:t>exploring</w:t>
      </w:r>
      <w:r w:rsidR="004357AC" w:rsidRPr="008E526B">
        <w:t xml:space="preserve"> the development of </w:t>
      </w:r>
      <w:r w:rsidR="00EC00E4" w:rsidRPr="008E526B">
        <w:t>a broad NSCLC listing for PD-(L</w:t>
      </w:r>
      <w:proofErr w:type="gramStart"/>
      <w:r w:rsidR="00EC00E4" w:rsidRPr="008E526B">
        <w:t>)1</w:t>
      </w:r>
      <w:proofErr w:type="gramEnd"/>
      <w:r w:rsidR="00EC00E4" w:rsidRPr="008E526B">
        <w:t xml:space="preserve"> inhibitors.</w:t>
      </w:r>
      <w:r w:rsidR="008E526B">
        <w:t xml:space="preserve"> </w:t>
      </w:r>
      <w:r w:rsidR="00EC00E4" w:rsidRPr="008E526B">
        <w:t xml:space="preserve"> </w:t>
      </w:r>
      <w:r w:rsidR="0087556E" w:rsidRPr="008E526B">
        <w:t>During the meeting, s</w:t>
      </w:r>
      <w:r w:rsidR="00EC00E4" w:rsidRPr="008E526B">
        <w:t>takeholders identified several</w:t>
      </w:r>
      <w:r w:rsidR="0087556E" w:rsidRPr="008E526B">
        <w:t xml:space="preserve"> key</w:t>
      </w:r>
      <w:r w:rsidR="00EC00E4" w:rsidRPr="008E526B">
        <w:t xml:space="preserve"> issues and challenges surroundi</w:t>
      </w:r>
      <w:r w:rsidR="006D4AFC" w:rsidRPr="008E526B">
        <w:t xml:space="preserve">ng the </w:t>
      </w:r>
      <w:r w:rsidR="009B5150" w:rsidRPr="008E526B">
        <w:t>progression</w:t>
      </w:r>
      <w:r w:rsidR="006D4AFC" w:rsidRPr="008E526B">
        <w:t xml:space="preserve"> of a broad N</w:t>
      </w:r>
      <w:r w:rsidR="00EC00E4" w:rsidRPr="008E526B">
        <w:t>S</w:t>
      </w:r>
      <w:r w:rsidR="006D4AFC" w:rsidRPr="008E526B">
        <w:t>C</w:t>
      </w:r>
      <w:r w:rsidR="00EC00E4" w:rsidRPr="008E526B">
        <w:t>LC listing</w:t>
      </w:r>
      <w:r w:rsidR="00AC7125">
        <w:t>.</w:t>
      </w:r>
      <w:r w:rsidR="00EC00E4" w:rsidRPr="008E526B">
        <w:t xml:space="preserve"> </w:t>
      </w:r>
    </w:p>
    <w:p w:rsidR="00642667" w:rsidRPr="008E526B" w:rsidRDefault="00642667" w:rsidP="000A024E">
      <w:pPr>
        <w:pStyle w:val="Heading3"/>
      </w:pPr>
      <w:r w:rsidRPr="008E526B">
        <w:t>The Minister’s original request</w:t>
      </w:r>
    </w:p>
    <w:p w:rsidR="00EC16A5" w:rsidRDefault="00EB6978" w:rsidP="00B12E30">
      <w:pPr>
        <w:spacing w:line="276" w:lineRule="auto"/>
      </w:pPr>
      <w:r>
        <w:t xml:space="preserve">Some of the pharmaceutical industry </w:t>
      </w:r>
      <w:r w:rsidR="008E526B">
        <w:t>attendees</w:t>
      </w:r>
      <w:r w:rsidR="00067EDB" w:rsidRPr="008E526B">
        <w:t xml:space="preserve"> </w:t>
      </w:r>
      <w:r w:rsidR="00985298" w:rsidRPr="008E526B">
        <w:t>considered a broad NSCLC listing for all</w:t>
      </w:r>
      <w:r w:rsidR="00C70275" w:rsidRPr="008E526B">
        <w:t xml:space="preserve"> eligible</w:t>
      </w:r>
      <w:r w:rsidR="00BD4398">
        <w:t xml:space="preserve"> PD-(L</w:t>
      </w:r>
      <w:proofErr w:type="gramStart"/>
      <w:r w:rsidR="00BD4398">
        <w:t>)1</w:t>
      </w:r>
      <w:proofErr w:type="gramEnd"/>
      <w:r w:rsidR="00BD4398">
        <w:t xml:space="preserve"> inhibitors</w:t>
      </w:r>
      <w:r>
        <w:t xml:space="preserve"> </w:t>
      </w:r>
      <w:r w:rsidR="007773AC" w:rsidRPr="008E526B">
        <w:t>deviate</w:t>
      </w:r>
      <w:r w:rsidR="00BD4398">
        <w:t>s</w:t>
      </w:r>
      <w:r w:rsidR="007773AC" w:rsidRPr="008E526B">
        <w:t xml:space="preserve"> from</w:t>
      </w:r>
      <w:r w:rsidR="00985298" w:rsidRPr="008E526B">
        <w:t xml:space="preserve"> </w:t>
      </w:r>
      <w:r>
        <w:t xml:space="preserve">their understanding of </w:t>
      </w:r>
      <w:r w:rsidR="00985298" w:rsidRPr="008E526B">
        <w:t xml:space="preserve">the Minister’s request </w:t>
      </w:r>
      <w:r>
        <w:t>to</w:t>
      </w:r>
      <w:r w:rsidR="00985298" w:rsidRPr="008E526B">
        <w:t xml:space="preserve"> the PBAC</w:t>
      </w:r>
      <w:r w:rsidR="00C70275" w:rsidRPr="008E526B">
        <w:t>.</w:t>
      </w:r>
      <w:r w:rsidR="00FE2B04" w:rsidRPr="008E526B">
        <w:t xml:space="preserve">  </w:t>
      </w:r>
      <w:r w:rsidR="008E526B">
        <w:t>Th</w:t>
      </w:r>
      <w:r w:rsidR="00BD4398">
        <w:t>is</w:t>
      </w:r>
      <w:r w:rsidR="008E526B">
        <w:t xml:space="preserve"> was </w:t>
      </w:r>
      <w:r w:rsidR="00FE2B04" w:rsidRPr="008E526B">
        <w:t xml:space="preserve">viewed </w:t>
      </w:r>
      <w:r>
        <w:t xml:space="preserve">by those stakeholders </w:t>
      </w:r>
      <w:r w:rsidR="00FE2B04" w:rsidRPr="008E526B">
        <w:t xml:space="preserve">as a missed opportunity to </w:t>
      </w:r>
      <w:r w:rsidR="004E299B" w:rsidRPr="008E526B">
        <w:t>provide a way forward for listing PD-(L)1 inhibitors across several tumour types.</w:t>
      </w:r>
    </w:p>
    <w:p w:rsidR="007773AC" w:rsidRPr="008E526B" w:rsidRDefault="007773AC" w:rsidP="00B12E30">
      <w:pPr>
        <w:spacing w:line="276" w:lineRule="auto"/>
      </w:pPr>
      <w:r>
        <w:t xml:space="preserve">At </w:t>
      </w:r>
      <w:r w:rsidRPr="008E526B">
        <w:t xml:space="preserve">the November 2018 meeting, the PBAC recommended exploring a potential broad NSCLC </w:t>
      </w:r>
      <w:r>
        <w:t xml:space="preserve">subsidy </w:t>
      </w:r>
      <w:r w:rsidRPr="008E526B">
        <w:t>listing given th</w:t>
      </w:r>
      <w:r>
        <w:t xml:space="preserve">e </w:t>
      </w:r>
      <w:r w:rsidRPr="008E526B">
        <w:t xml:space="preserve">number of submissions, as well as the substantial evidence and experience now available for four PD-(L)1  medicines in this setting.  Exploring a broad NSCLC listing </w:t>
      </w:r>
      <w:r>
        <w:t xml:space="preserve">also </w:t>
      </w:r>
      <w:r w:rsidRPr="008E526B">
        <w:t>provides an opportunity for stakeholders to have a concrete discussion on issues surrounding broad listings, on a smaller scale</w:t>
      </w:r>
      <w:r>
        <w:t>, and to find solutions for issues that will apply to any broad listing proposal.</w:t>
      </w:r>
    </w:p>
    <w:p w:rsidR="00B12E30" w:rsidRPr="008E526B" w:rsidRDefault="004F09BE" w:rsidP="00B12E30">
      <w:pPr>
        <w:spacing w:line="276" w:lineRule="auto"/>
      </w:pPr>
      <w:r w:rsidRPr="008E526B">
        <w:t xml:space="preserve">The PBAC Chair </w:t>
      </w:r>
      <w:r w:rsidR="004E299B" w:rsidRPr="008E526B">
        <w:t>emphasised that</w:t>
      </w:r>
      <w:r w:rsidR="007072E5" w:rsidRPr="008E526B">
        <w:t xml:space="preserve"> this was</w:t>
      </w:r>
      <w:r w:rsidR="00B12E30" w:rsidRPr="008E526B">
        <w:t xml:space="preserve"> </w:t>
      </w:r>
      <w:r w:rsidR="00EB6978">
        <w:t xml:space="preserve">but </w:t>
      </w:r>
      <w:r w:rsidR="007072E5" w:rsidRPr="008E526B">
        <w:t>one of several recommendations made by</w:t>
      </w:r>
      <w:r w:rsidR="004E299B" w:rsidRPr="008E526B">
        <w:t xml:space="preserve"> </w:t>
      </w:r>
      <w:r w:rsidR="00A36EEA" w:rsidRPr="008E526B">
        <w:t xml:space="preserve">the PBAC </w:t>
      </w:r>
      <w:r w:rsidR="007072E5" w:rsidRPr="008E526B">
        <w:t>to</w:t>
      </w:r>
      <w:r w:rsidR="00A36EEA" w:rsidRPr="008E526B">
        <w:t xml:space="preserve"> the Minister </w:t>
      </w:r>
      <w:r w:rsidR="007072E5" w:rsidRPr="008E526B">
        <w:t xml:space="preserve">in its final </w:t>
      </w:r>
      <w:r w:rsidR="002015E1" w:rsidRPr="008E526B">
        <w:t>report</w:t>
      </w:r>
      <w:r w:rsidR="008E526B">
        <w:t>, and that PBAC had initiated work on this recommendation in the context of the many recent and upcoming PBS listings submissions for NSCLC</w:t>
      </w:r>
      <w:r w:rsidR="007072E5" w:rsidRPr="008E526B">
        <w:t>.</w:t>
      </w:r>
      <w:r w:rsidR="0068675F">
        <w:t xml:space="preserve">  </w:t>
      </w:r>
      <w:r w:rsidR="0068675F" w:rsidRPr="007773AC">
        <w:t xml:space="preserve">The Chair noted the challenge of a broader multi-tumour listing was the increased level of uncertainty about relative benefits in different </w:t>
      </w:r>
      <w:r w:rsidR="00EB6978" w:rsidRPr="007773AC">
        <w:t>cancer types</w:t>
      </w:r>
      <w:r w:rsidR="0068675F" w:rsidRPr="007773AC">
        <w:t xml:space="preserve"> and therefore the ability of the PBAC to meet its legal requirements to ensure cost-effectiveness when recommending drugs for </w:t>
      </w:r>
      <w:r w:rsidR="00EB6978" w:rsidRPr="007773AC">
        <w:t>subsidy</w:t>
      </w:r>
      <w:r w:rsidR="007773AC" w:rsidRPr="007773AC">
        <w:t xml:space="preserve"> </w:t>
      </w:r>
      <w:r w:rsidR="0068675F" w:rsidRPr="007773AC">
        <w:t>on the PBS.</w:t>
      </w:r>
      <w:r w:rsidR="008E526B" w:rsidRPr="007773AC">
        <w:t xml:space="preserve"> </w:t>
      </w:r>
      <w:r w:rsidR="00ED70FB" w:rsidRPr="007773AC">
        <w:t xml:space="preserve"> </w:t>
      </w:r>
    </w:p>
    <w:p w:rsidR="00642667" w:rsidRPr="008E526B" w:rsidRDefault="00642667" w:rsidP="000A024E">
      <w:pPr>
        <w:pStyle w:val="Heading3"/>
      </w:pPr>
      <w:r w:rsidRPr="008E526B">
        <w:t>Timely access to PD-(L</w:t>
      </w:r>
      <w:proofErr w:type="gramStart"/>
      <w:r w:rsidRPr="008E526B">
        <w:t>)1</w:t>
      </w:r>
      <w:proofErr w:type="gramEnd"/>
      <w:r w:rsidRPr="008E526B">
        <w:t xml:space="preserve"> checkpoint inhibitors</w:t>
      </w:r>
    </w:p>
    <w:p w:rsidR="004A6F47" w:rsidRPr="008E526B" w:rsidRDefault="00FE2B04" w:rsidP="004A6F47">
      <w:r w:rsidRPr="008E526B">
        <w:t>Ensuring timely access to PD-(L</w:t>
      </w:r>
      <w:proofErr w:type="gramStart"/>
      <w:r w:rsidRPr="008E526B">
        <w:t>)1</w:t>
      </w:r>
      <w:proofErr w:type="gramEnd"/>
      <w:r w:rsidRPr="008E526B">
        <w:t xml:space="preserve"> inhibitors</w:t>
      </w:r>
      <w:r w:rsidR="004E299B" w:rsidRPr="008E526B">
        <w:t xml:space="preserve"> was a </w:t>
      </w:r>
      <w:r w:rsidR="00EB6978">
        <w:t>priority for all</w:t>
      </w:r>
      <w:r w:rsidR="004E299B" w:rsidRPr="008E526B">
        <w:t xml:space="preserve"> </w:t>
      </w:r>
      <w:r w:rsidRPr="008E526B">
        <w:t xml:space="preserve">stakeholders.  </w:t>
      </w:r>
      <w:r w:rsidR="00EB6978">
        <w:t>The pharmaceutical industry attendees wanted to ensure</w:t>
      </w:r>
      <w:r w:rsidR="00DD3D84" w:rsidRPr="008E526B">
        <w:t xml:space="preserve"> that the process of developing a broad NSCLC listing </w:t>
      </w:r>
      <w:r w:rsidR="00EB6978">
        <w:t xml:space="preserve">would not </w:t>
      </w:r>
      <w:r w:rsidR="00DD3D84" w:rsidRPr="008E526B">
        <w:t>delay</w:t>
      </w:r>
      <w:r w:rsidRPr="008E526B">
        <w:t xml:space="preserve"> </w:t>
      </w:r>
      <w:r w:rsidR="002F1F7C" w:rsidRPr="008E526B">
        <w:t>PD-(L</w:t>
      </w:r>
      <w:proofErr w:type="gramStart"/>
      <w:r w:rsidR="002F1F7C" w:rsidRPr="008E526B">
        <w:t>)1</w:t>
      </w:r>
      <w:proofErr w:type="gramEnd"/>
      <w:r w:rsidR="002F1F7C" w:rsidRPr="008E526B">
        <w:t xml:space="preserve"> inhibitor</w:t>
      </w:r>
      <w:r w:rsidR="00DD3D84" w:rsidRPr="008E526B">
        <w:t xml:space="preserve"> submissions currently under consideration</w:t>
      </w:r>
      <w:r w:rsidR="004E299B" w:rsidRPr="008E526B">
        <w:t xml:space="preserve"> by the PBAC</w:t>
      </w:r>
      <w:r w:rsidR="00DD3D84" w:rsidRPr="008E526B">
        <w:t xml:space="preserve">.  The PBAC Chair </w:t>
      </w:r>
      <w:r w:rsidR="00EC16A5" w:rsidRPr="008E526B">
        <w:t xml:space="preserve">assured stakeholders </w:t>
      </w:r>
      <w:r w:rsidR="00DD3D84" w:rsidRPr="008E526B">
        <w:t xml:space="preserve">that there will be no </w:t>
      </w:r>
      <w:r w:rsidR="004F09BE" w:rsidRPr="008E526B">
        <w:t xml:space="preserve">changes to the </w:t>
      </w:r>
      <w:r w:rsidR="00DD3D84" w:rsidRPr="008E526B">
        <w:t>consideration of current or future PD-(L</w:t>
      </w:r>
      <w:proofErr w:type="gramStart"/>
      <w:r w:rsidR="00DD3D84" w:rsidRPr="008E526B">
        <w:t>)1</w:t>
      </w:r>
      <w:proofErr w:type="gramEnd"/>
      <w:r w:rsidR="00DD3D84" w:rsidRPr="008E526B">
        <w:t xml:space="preserve"> inhibitor submissions as a result of this process.  Exploring a broad NSCLC listing for PD-(L</w:t>
      </w:r>
      <w:proofErr w:type="gramStart"/>
      <w:r w:rsidR="00DD3D84" w:rsidRPr="008E526B">
        <w:t>)1</w:t>
      </w:r>
      <w:proofErr w:type="gramEnd"/>
      <w:r w:rsidR="00DD3D84" w:rsidRPr="008E526B">
        <w:t xml:space="preserve"> inhibitors will </w:t>
      </w:r>
      <w:r w:rsidR="00612785" w:rsidRPr="008E526B">
        <w:t xml:space="preserve">be done </w:t>
      </w:r>
      <w:r w:rsidR="00DD3D84" w:rsidRPr="008E526B">
        <w:t xml:space="preserve">in parallel to PBAC </w:t>
      </w:r>
      <w:r w:rsidR="00612785" w:rsidRPr="008E526B">
        <w:t xml:space="preserve">consideration of </w:t>
      </w:r>
      <w:r w:rsidR="004F09BE" w:rsidRPr="008E526B">
        <w:t xml:space="preserve">sponsor </w:t>
      </w:r>
      <w:r w:rsidR="00612785" w:rsidRPr="008E526B">
        <w:t>submissions</w:t>
      </w:r>
      <w:r w:rsidR="00DD3D84" w:rsidRPr="008E526B">
        <w:t xml:space="preserve">.  </w:t>
      </w:r>
      <w:r w:rsidR="00453040" w:rsidRPr="008E526B">
        <w:t>Sponsors intending to make future PD-(L</w:t>
      </w:r>
      <w:proofErr w:type="gramStart"/>
      <w:r w:rsidR="00453040" w:rsidRPr="008E526B">
        <w:t>)1</w:t>
      </w:r>
      <w:proofErr w:type="gramEnd"/>
      <w:r w:rsidR="00453040" w:rsidRPr="008E526B">
        <w:t xml:space="preserve"> inhibitor submissions to the PBAC were encouraged to proceed</w:t>
      </w:r>
      <w:r w:rsidR="009071EB" w:rsidRPr="008E526B">
        <w:t xml:space="preserve"> with th</w:t>
      </w:r>
      <w:r w:rsidR="004F09BE" w:rsidRPr="008E526B">
        <w:t>ose</w:t>
      </w:r>
      <w:r w:rsidR="009071EB" w:rsidRPr="008E526B">
        <w:t xml:space="preserve"> submissions</w:t>
      </w:r>
      <w:r w:rsidR="00453040" w:rsidRPr="008E526B">
        <w:t xml:space="preserve"> as scheduled. </w:t>
      </w:r>
    </w:p>
    <w:p w:rsidR="00A8211C" w:rsidRPr="008E526B" w:rsidRDefault="000A024E" w:rsidP="004A6F47">
      <w:pPr>
        <w:pStyle w:val="Heading3"/>
      </w:pPr>
      <w:r w:rsidRPr="008E526B">
        <w:t>TGA regist</w:t>
      </w:r>
      <w:r w:rsidR="002E26BA">
        <w:t>ration and PBS subsidy</w:t>
      </w:r>
    </w:p>
    <w:p w:rsidR="00474FF1" w:rsidRDefault="00AC7125" w:rsidP="00652D35">
      <w:r>
        <w:t>There was some</w:t>
      </w:r>
      <w:r w:rsidR="00652D35" w:rsidRPr="008E526B">
        <w:t xml:space="preserve"> discussion surrounding </w:t>
      </w:r>
      <w:r w:rsidR="00B65458" w:rsidRPr="008E526B">
        <w:t xml:space="preserve">the </w:t>
      </w:r>
      <w:r w:rsidR="00652D35" w:rsidRPr="008E526B">
        <w:t xml:space="preserve">TGA registration of medicines and PBS subsidy. </w:t>
      </w:r>
    </w:p>
    <w:p w:rsidR="00474FF1" w:rsidRDefault="00474FF1" w:rsidP="00474FF1">
      <w:r>
        <w:t xml:space="preserve">A </w:t>
      </w:r>
      <w:r w:rsidRPr="008E526B">
        <w:t xml:space="preserve">concern raised by one </w:t>
      </w:r>
      <w:r>
        <w:t xml:space="preserve">industry </w:t>
      </w:r>
      <w:r w:rsidRPr="008E526B">
        <w:t xml:space="preserve">sponsor was the possibility that it would not be able to </w:t>
      </w:r>
      <w:r>
        <w:t xml:space="preserve">accept </w:t>
      </w:r>
      <w:r w:rsidRPr="008E526B">
        <w:t xml:space="preserve">reimbursement for a PBS listing which did not correspond directly with its TGA registered indication. Not all </w:t>
      </w:r>
      <w:r>
        <w:t xml:space="preserve">industry </w:t>
      </w:r>
      <w:r w:rsidRPr="008E526B">
        <w:t>sponsors shared this concern, with some considering reimbursement was possible under these circumstances.</w:t>
      </w:r>
    </w:p>
    <w:p w:rsidR="00751158" w:rsidRDefault="00474FF1" w:rsidP="00652D35">
      <w:r w:rsidRPr="008E78F6">
        <w:t>The PBAC Chair emphasised the PBAC was not advocating prescribing outside of TGA registered indications, but allowing the decision of when and which drug to use in the course of the disease to be at the discretion of the clinician and patient.</w:t>
      </w:r>
    </w:p>
    <w:p w:rsidR="00751158" w:rsidRPr="0068675F" w:rsidRDefault="00EB6978" w:rsidP="00652D35">
      <w:pPr>
        <w:rPr>
          <w:color w:val="FF0000"/>
        </w:rPr>
      </w:pPr>
      <w:r>
        <w:t>T</w:t>
      </w:r>
      <w:r w:rsidR="00751158" w:rsidRPr="0056615B">
        <w:t xml:space="preserve">he PBAC considers a broad lung listing for PD-(L)1 inhibitors is not a move away from the PBAC’s general approach, where subsidy is restricted </w:t>
      </w:r>
      <w:r w:rsidR="004F09BE" w:rsidRPr="0056615B">
        <w:t>to particular patient groups through “</w:t>
      </w:r>
      <w:r w:rsidR="00751158" w:rsidRPr="0056615B">
        <w:t>restricted benefit</w:t>
      </w:r>
      <w:r w:rsidR="004F09BE" w:rsidRPr="0056615B">
        <w:t>”</w:t>
      </w:r>
      <w:r w:rsidR="00751158" w:rsidRPr="0056615B">
        <w:t xml:space="preserve"> or </w:t>
      </w:r>
      <w:r w:rsidR="004F09BE" w:rsidRPr="0056615B">
        <w:t>“</w:t>
      </w:r>
      <w:r w:rsidR="00751158" w:rsidRPr="0056615B">
        <w:t>authority required</w:t>
      </w:r>
      <w:r w:rsidR="004F09BE" w:rsidRPr="0056615B">
        <w:t>”</w:t>
      </w:r>
      <w:r w:rsidR="00751158" w:rsidRPr="0056615B">
        <w:t xml:space="preserve"> listings.  The PBAC considers that NSCLC is an indication where there is now a substantial body of evidence for PD-(L)1 inhib</w:t>
      </w:r>
      <w:r w:rsidR="009C2D17" w:rsidRPr="0056615B">
        <w:t>i</w:t>
      </w:r>
      <w:r w:rsidR="00751158" w:rsidRPr="0056615B">
        <w:t>t</w:t>
      </w:r>
      <w:r w:rsidR="009C2D17" w:rsidRPr="0056615B">
        <w:t>o</w:t>
      </w:r>
      <w:r w:rsidR="00751158" w:rsidRPr="0056615B">
        <w:t xml:space="preserve">rs making it suitable for exploring in a concrete way, the </w:t>
      </w:r>
      <w:r w:rsidR="00751158" w:rsidRPr="007773AC">
        <w:t>potential for a broad or “pan” listing</w:t>
      </w:r>
      <w:r w:rsidR="004F09BE" w:rsidRPr="007773AC">
        <w:t xml:space="preserve"> and that such an approach need not be inconsistent with TGA</w:t>
      </w:r>
      <w:r w:rsidR="00AC7125" w:rsidRPr="007773AC">
        <w:t xml:space="preserve"> registration</w:t>
      </w:r>
      <w:r w:rsidR="00232F40" w:rsidRPr="007773AC">
        <w:t>/</w:t>
      </w:r>
      <w:r w:rsidR="007A6234" w:rsidRPr="007773AC">
        <w:t>processes</w:t>
      </w:r>
      <w:r w:rsidR="009C2D17" w:rsidRPr="007773AC">
        <w:t>.</w:t>
      </w:r>
      <w:r w:rsidR="0068675F" w:rsidRPr="007773AC">
        <w:t xml:space="preserve"> </w:t>
      </w:r>
      <w:r w:rsidRPr="007773AC">
        <w:t xml:space="preserve"> </w:t>
      </w:r>
      <w:r w:rsidR="0068675F" w:rsidRPr="007773AC">
        <w:t>PBS listings do not remove the prescribing d</w:t>
      </w:r>
      <w:r w:rsidR="002D18D2">
        <w:t>octor’s obligations to be cognis</w:t>
      </w:r>
      <w:r w:rsidR="0068675F" w:rsidRPr="007773AC">
        <w:t>ant of TGA registered indications.</w:t>
      </w:r>
    </w:p>
    <w:p w:rsidR="009C2D17" w:rsidRPr="008E526B" w:rsidRDefault="009C2D17" w:rsidP="009C2D17">
      <w:r w:rsidRPr="008E526B">
        <w:t xml:space="preserve">PD-(L)1 inhibitors overlap in their </w:t>
      </w:r>
      <w:r w:rsidR="00400926" w:rsidRPr="008E526B">
        <w:t xml:space="preserve">current or proposed </w:t>
      </w:r>
      <w:r w:rsidRPr="008E526B">
        <w:t>NSCLC subsidised indications (Figure 1), therefore providing access to several PD-(L)1 inhibitors in a broad listing setting aims to promote flexibility for clinicians and patients, allowing them to make their own decisions regarding best treatment.</w:t>
      </w:r>
    </w:p>
    <w:p w:rsidR="009C2D17" w:rsidRPr="008E526B" w:rsidRDefault="00582186" w:rsidP="009C2D17">
      <w:r w:rsidRPr="0031090B">
        <w:rPr>
          <w:noProof/>
          <w:lang w:eastAsia="en-AU"/>
        </w:rPr>
        <mc:AlternateContent>
          <mc:Choice Requires="wpg">
            <w:drawing>
              <wp:anchor distT="0" distB="0" distL="114300" distR="114300" simplePos="0" relativeHeight="251661312" behindDoc="0" locked="0" layoutInCell="1" allowOverlap="1" wp14:anchorId="178D2329" wp14:editId="5CC6EE5C">
                <wp:simplePos x="0" y="0"/>
                <wp:positionH relativeFrom="margin">
                  <wp:align>left</wp:align>
                </wp:positionH>
                <wp:positionV relativeFrom="paragraph">
                  <wp:posOffset>23570</wp:posOffset>
                </wp:positionV>
                <wp:extent cx="2512612" cy="4316506"/>
                <wp:effectExtent l="19050" t="19050" r="21590" b="27305"/>
                <wp:wrapNone/>
                <wp:docPr id="1" name="Group 1" descr="NSCLC population targeted across the 14 PD-L(1) inhibitor submissions received by the PBAC (as of March 2019)" title="Figure 1"/>
                <wp:cNvGraphicFramePr/>
                <a:graphic xmlns:a="http://schemas.openxmlformats.org/drawingml/2006/main">
                  <a:graphicData uri="http://schemas.microsoft.com/office/word/2010/wordprocessingGroup">
                    <wpg:wgp>
                      <wpg:cNvGrpSpPr/>
                      <wpg:grpSpPr>
                        <a:xfrm>
                          <a:off x="0" y="0"/>
                          <a:ext cx="2512612" cy="4316506"/>
                          <a:chOff x="0" y="6"/>
                          <a:chExt cx="2552700" cy="5097779"/>
                        </a:xfrm>
                      </wpg:grpSpPr>
                      <wpg:grpSp>
                        <wpg:cNvPr id="2" name="Group 2"/>
                        <wpg:cNvGrpSpPr/>
                        <wpg:grpSpPr>
                          <a:xfrm>
                            <a:off x="0" y="6"/>
                            <a:ext cx="2552700" cy="5097779"/>
                            <a:chOff x="0" y="3"/>
                            <a:chExt cx="3592286" cy="6076497"/>
                          </a:xfrm>
                        </wpg:grpSpPr>
                        <wps:wsp>
                          <wps:cNvPr id="3" name="Rectangle 5">
                            <a:extLst>
                              <a:ext uri="{FF2B5EF4-FFF2-40B4-BE49-F238E27FC236}">
                                <a16:creationId xmlns:a16="http://schemas.microsoft.com/office/drawing/2014/main" id="{502FB452-8F8C-4A34-8A58-36870ED10451}"/>
                              </a:ext>
                            </a:extLst>
                          </wps:cNvPr>
                          <wps:cNvSpPr/>
                          <wps:spPr>
                            <a:xfrm>
                              <a:off x="63610" y="1439186"/>
                              <a:ext cx="3526971" cy="4637314"/>
                            </a:xfrm>
                            <a:prstGeom prst="rect">
                              <a:avLst/>
                            </a:prstGeom>
                            <a:noFill/>
                            <a:ln w="38100" cap="flat" cmpd="sng" algn="ctr">
                              <a:solidFill>
                                <a:srgbClr val="4F81BD">
                                  <a:shade val="50000"/>
                                </a:srgbClr>
                              </a:solidFill>
                              <a:prstDash val="solid"/>
                              <a:miter lim="800000"/>
                            </a:ln>
                            <a:effectLst/>
                          </wps:spPr>
                          <wps:bodyPr rtlCol="0" anchor="ctr"/>
                        </wps:wsp>
                        <wps:wsp>
                          <wps:cNvPr id="4" name="Rectangle 7">
                            <a:extLst>
                              <a:ext uri="{FF2B5EF4-FFF2-40B4-BE49-F238E27FC236}">
                                <a16:creationId xmlns:a16="http://schemas.microsoft.com/office/drawing/2014/main" id="{66C629F1-124B-4283-B9B8-33AFB69047A0}"/>
                              </a:ext>
                            </a:extLst>
                          </wps:cNvPr>
                          <wps:cNvSpPr/>
                          <wps:spPr>
                            <a:xfrm>
                              <a:off x="63582" y="636000"/>
                              <a:ext cx="2164075" cy="713752"/>
                            </a:xfrm>
                            <a:prstGeom prst="rect">
                              <a:avLst/>
                            </a:prstGeom>
                            <a:noFill/>
                            <a:ln w="28575" cap="flat" cmpd="sng" algn="ctr">
                              <a:solidFill>
                                <a:sysClr val="windowText" lastClr="000000">
                                  <a:lumMod val="85000"/>
                                  <a:lumOff val="15000"/>
                                </a:sysClr>
                              </a:solidFill>
                              <a:prstDash val="solid"/>
                              <a:miter lim="800000"/>
                            </a:ln>
                            <a:effectLst/>
                          </wps:spPr>
                          <wps:bodyPr rtlCol="0" anchor="ctr"/>
                        </wps:wsp>
                        <wps:wsp>
                          <wps:cNvPr id="5" name="Rectangle 13">
                            <a:extLst>
                              <a:ext uri="{FF2B5EF4-FFF2-40B4-BE49-F238E27FC236}">
                                <a16:creationId xmlns:a16="http://schemas.microsoft.com/office/drawing/2014/main" id="{CD8B13CD-8BA9-4887-B7D0-E9E15A4EE1A0}"/>
                              </a:ext>
                            </a:extLst>
                          </wps:cNvPr>
                          <wps:cNvSpPr/>
                          <wps:spPr>
                            <a:xfrm>
                              <a:off x="246436" y="739411"/>
                              <a:ext cx="2901588" cy="3498980"/>
                            </a:xfrm>
                            <a:prstGeom prst="rect">
                              <a:avLst/>
                            </a:prstGeom>
                            <a:noFill/>
                            <a:ln w="38100" cap="flat" cmpd="sng" algn="ctr">
                              <a:solidFill>
                                <a:srgbClr val="FF0000"/>
                              </a:solidFill>
                              <a:prstDash val="solid"/>
                              <a:miter lim="800000"/>
                            </a:ln>
                            <a:effectLst/>
                          </wps:spPr>
                          <wps:bodyPr rtlCol="0" anchor="ctr"/>
                        </wps:wsp>
                        <wps:wsp>
                          <wps:cNvPr id="6" name="Rectangle 14">
                            <a:extLst>
                              <a:ext uri="{FF2B5EF4-FFF2-40B4-BE49-F238E27FC236}">
                                <a16:creationId xmlns:a16="http://schemas.microsoft.com/office/drawing/2014/main" id="{6DEF5137-74C5-4131-AF91-AD5D64ECAE4B}"/>
                              </a:ext>
                            </a:extLst>
                          </wps:cNvPr>
                          <wps:cNvSpPr/>
                          <wps:spPr>
                            <a:xfrm>
                              <a:off x="2321504" y="731433"/>
                              <a:ext cx="1158421" cy="4163838"/>
                            </a:xfrm>
                            <a:prstGeom prst="rect">
                              <a:avLst/>
                            </a:prstGeom>
                            <a:noFill/>
                            <a:ln w="44450" cap="flat" cmpd="sng" algn="ctr">
                              <a:solidFill>
                                <a:srgbClr val="7030A0"/>
                              </a:solidFill>
                              <a:prstDash val="solid"/>
                              <a:miter lim="800000"/>
                            </a:ln>
                            <a:effectLst/>
                          </wps:spPr>
                          <wps:bodyPr rtlCol="0" anchor="ctr"/>
                        </wps:wsp>
                        <wps:wsp>
                          <wps:cNvPr id="7" name="Rectangle 19">
                            <a:extLst>
                              <a:ext uri="{FF2B5EF4-FFF2-40B4-BE49-F238E27FC236}">
                                <a16:creationId xmlns:a16="http://schemas.microsoft.com/office/drawing/2014/main" id="{F6331383-525F-49D6-8B3B-276E253E591E}"/>
                              </a:ext>
                            </a:extLst>
                          </wps:cNvPr>
                          <wps:cNvSpPr/>
                          <wps:spPr>
                            <a:xfrm>
                              <a:off x="0" y="3"/>
                              <a:ext cx="3592286" cy="550505"/>
                            </a:xfrm>
                            <a:prstGeom prst="rect">
                              <a:avLst/>
                            </a:prstGeom>
                            <a:noFill/>
                            <a:ln w="41275" cap="flat" cmpd="sng" algn="ctr">
                              <a:solidFill>
                                <a:srgbClr val="C00000"/>
                              </a:solidFill>
                              <a:prstDash val="dash"/>
                              <a:miter lim="800000"/>
                            </a:ln>
                            <a:effectLst/>
                          </wps:spPr>
                          <wps:bodyPr rtlCol="0" anchor="ctr"/>
                        </wps:wsp>
                      </wpg:grpSp>
                      <wps:wsp>
                        <wps:cNvPr id="8" name="Rectangle 8"/>
                        <wps:cNvSpPr/>
                        <wps:spPr>
                          <a:xfrm>
                            <a:off x="104993" y="588301"/>
                            <a:ext cx="2184035" cy="3776870"/>
                          </a:xfrm>
                          <a:prstGeom prst="rect">
                            <a:avLst/>
                          </a:prstGeom>
                          <a:noFill/>
                          <a:ln w="50800" cap="flat" cmpd="sng" algn="ctr">
                            <a:solidFill>
                              <a:srgbClr val="9BBB59">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6EEDE3" id="Group 1" o:spid="_x0000_s1026" alt="Title: Figure 1 - Description: NSCLC population targeted across the 14 PD-L(1) inhibitor submissions received by the PBAC (as of March 2019)" style="position:absolute;margin-left:0;margin-top:1.85pt;width:197.85pt;height:339.9pt;z-index:251661312;mso-position-horizontal:left;mso-position-horizontal-relative:margin;mso-width-relative:margin;mso-height-relative:margin" coordorigin="" coordsize="25527,50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">
                <v:group id="Group 2" o:spid="_x0000_s1027" style="position:absolute;width:25527;height:50977" coordorigin="" coordsize="35922,6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5" o:spid="_x0000_s1028" style="position:absolute;left:636;top:14391;width:35269;height:4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" filled="f" strokecolor="#385d8a" strokeweight="3pt"/>
                  <v:rect id="Rectangle 7" o:spid="_x0000_s1029" style="position:absolute;left:635;top:6360;width:21641;height:7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" filled="f" strokecolor="#262626" strokeweight="2.25pt"/>
                  <v:rect id="Rectangle 13" o:spid="_x0000_s1030" style="position:absolute;left:2464;top:7394;width:29016;height:34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" filled="f" strokecolor="red" strokeweight="3pt"/>
                  <v:rect id="Rectangle 14" o:spid="_x0000_s1031" style="position:absolute;left:23215;top:7314;width:11584;height:4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" filled="f" strokecolor="#7030a0" strokeweight="3.5pt"/>
                  <v:rect id="Rectangle 19" o:spid="_x0000_s1032" style="position:absolute;width:35922;height:5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" filled="f" strokecolor="#c00000" strokeweight="3.25pt">
                    <v:stroke dashstyle="dash"/>
                  </v:rect>
                </v:group>
                <v:rect id="Rectangle 8" o:spid="_x0000_s1033" style="position:absolute;left:1049;top:5883;width:21841;height:37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" filled="f" strokecolor="#77933c" strokeweight="4pt"/>
                <w10:wrap anchorx="margin"/>
              </v:group>
            </w:pict>
          </mc:Fallback>
        </mc:AlternateContent>
      </w:r>
    </w:p>
    <w:p w:rsidR="009C2D17" w:rsidRPr="008E526B" w:rsidRDefault="009C2D17" w:rsidP="009C2D17">
      <w:pPr>
        <w:tabs>
          <w:tab w:val="left" w:pos="7488"/>
        </w:tabs>
      </w:pPr>
      <w:r w:rsidRPr="008E526B">
        <w:tab/>
      </w:r>
    </w:p>
    <w:p w:rsidR="009C2D17" w:rsidRPr="008E526B" w:rsidRDefault="009C2D17" w:rsidP="009C2D17"/>
    <w:p w:rsidR="009C2D17" w:rsidRPr="008E526B" w:rsidRDefault="009C2D17" w:rsidP="009C2D17"/>
    <w:p w:rsidR="009C2D17" w:rsidRPr="008E526B" w:rsidRDefault="009C2D17" w:rsidP="009C2D17"/>
    <w:p w:rsidR="009C2D17" w:rsidRPr="008E526B" w:rsidRDefault="009C2D17" w:rsidP="009C2D17"/>
    <w:p w:rsidR="009C2D17" w:rsidRPr="008E526B" w:rsidRDefault="009C2D17" w:rsidP="009C2D17"/>
    <w:p w:rsidR="009C2D17" w:rsidRPr="008E526B" w:rsidRDefault="009C2D17" w:rsidP="009C2D17"/>
    <w:p w:rsidR="009C2D17" w:rsidRPr="008E526B" w:rsidRDefault="009C2D17" w:rsidP="009C2D17"/>
    <w:p w:rsidR="009C2D17" w:rsidRPr="008E526B" w:rsidRDefault="009C2D17" w:rsidP="009C2D17"/>
    <w:p w:rsidR="009C2D17" w:rsidRPr="008E526B" w:rsidRDefault="009C2D17" w:rsidP="009C2D17"/>
    <w:p w:rsidR="009C2D17" w:rsidRPr="008E526B" w:rsidRDefault="009C2D17" w:rsidP="009C2D17"/>
    <w:p w:rsidR="00582186" w:rsidRDefault="00582186" w:rsidP="009C2D17">
      <w:pPr>
        <w:rPr>
          <w:rFonts w:ascii="Arial Narrow" w:hAnsi="Arial Narrow"/>
          <w:b/>
          <w:sz w:val="20"/>
          <w:szCs w:val="20"/>
        </w:rPr>
      </w:pPr>
    </w:p>
    <w:p w:rsidR="00582186" w:rsidRDefault="00582186" w:rsidP="009C2D17">
      <w:pPr>
        <w:rPr>
          <w:rFonts w:ascii="Arial Narrow" w:hAnsi="Arial Narrow"/>
          <w:b/>
          <w:sz w:val="20"/>
          <w:szCs w:val="20"/>
        </w:rPr>
      </w:pPr>
    </w:p>
    <w:p w:rsidR="00582186" w:rsidRDefault="00582186" w:rsidP="009C2D17">
      <w:pPr>
        <w:rPr>
          <w:rFonts w:ascii="Arial Narrow" w:hAnsi="Arial Narrow"/>
          <w:b/>
          <w:sz w:val="20"/>
          <w:szCs w:val="20"/>
        </w:rPr>
      </w:pPr>
    </w:p>
    <w:p w:rsidR="00582186" w:rsidRDefault="00926EEC" w:rsidP="009C2D17">
      <w:pPr>
        <w:rPr>
          <w:rFonts w:ascii="Arial Narrow" w:hAnsi="Arial Narrow"/>
          <w:b/>
          <w:sz w:val="20"/>
          <w:szCs w:val="20"/>
        </w:rPr>
      </w:pPr>
      <w:r>
        <w:rPr>
          <w:noProof/>
          <w:lang w:eastAsia="en-AU"/>
        </w:rPr>
        <mc:AlternateContent>
          <mc:Choice Requires="wps">
            <w:drawing>
              <wp:anchor distT="0" distB="0" distL="114300" distR="114300" simplePos="0" relativeHeight="251663360" behindDoc="0" locked="0" layoutInCell="1" allowOverlap="1" wp14:anchorId="046675E0" wp14:editId="0751FE30">
                <wp:simplePos x="0" y="0"/>
                <wp:positionH relativeFrom="margin">
                  <wp:align>left</wp:align>
                </wp:positionH>
                <wp:positionV relativeFrom="paragraph">
                  <wp:posOffset>174211</wp:posOffset>
                </wp:positionV>
                <wp:extent cx="5923722" cy="310101"/>
                <wp:effectExtent l="0" t="0" r="1270" b="0"/>
                <wp:wrapNone/>
                <wp:docPr id="10" name="Text Box 10"/>
                <wp:cNvGraphicFramePr/>
                <a:graphic xmlns:a="http://schemas.openxmlformats.org/drawingml/2006/main">
                  <a:graphicData uri="http://schemas.microsoft.com/office/word/2010/wordprocessingShape">
                    <wps:wsp>
                      <wps:cNvSpPr txBox="1"/>
                      <wps:spPr>
                        <a:xfrm>
                          <a:off x="0" y="0"/>
                          <a:ext cx="5923722" cy="310101"/>
                        </a:xfrm>
                        <a:prstGeom prst="rect">
                          <a:avLst/>
                        </a:prstGeom>
                        <a:solidFill>
                          <a:prstClr val="white"/>
                        </a:solidFill>
                        <a:ln>
                          <a:noFill/>
                        </a:ln>
                      </wps:spPr>
                      <wps:txbx>
                        <w:txbxContent>
                          <w:p w:rsidR="00926EEC" w:rsidRPr="00926EEC" w:rsidRDefault="00926EEC" w:rsidP="00926EEC">
                            <w:pPr>
                              <w:rPr>
                                <w:rFonts w:ascii="Arial Narrow" w:hAnsi="Arial Narrow"/>
                                <w:b/>
                                <w:sz w:val="20"/>
                                <w:szCs w:val="20"/>
                              </w:rPr>
                            </w:pPr>
                            <w:r w:rsidRPr="00926EEC">
                              <w:rPr>
                                <w:rFonts w:ascii="Arial Narrow" w:hAnsi="Arial Narrow"/>
                                <w:b/>
                                <w:sz w:val="20"/>
                                <w:szCs w:val="20"/>
                              </w:rPr>
                              <w:t xml:space="preserve">Figure </w:t>
                            </w:r>
                            <w:r w:rsidRPr="00926EEC">
                              <w:rPr>
                                <w:rFonts w:ascii="Arial Narrow" w:hAnsi="Arial Narrow"/>
                                <w:b/>
                                <w:sz w:val="20"/>
                                <w:szCs w:val="20"/>
                              </w:rPr>
                              <w:fldChar w:fldCharType="begin"/>
                            </w:r>
                            <w:r w:rsidRPr="00926EEC">
                              <w:rPr>
                                <w:rFonts w:ascii="Arial Narrow" w:hAnsi="Arial Narrow"/>
                                <w:b/>
                                <w:sz w:val="20"/>
                                <w:szCs w:val="20"/>
                              </w:rPr>
                              <w:instrText xml:space="preserve"> SEQ Figure \* ARABIC </w:instrText>
                            </w:r>
                            <w:r w:rsidRPr="00926EEC">
                              <w:rPr>
                                <w:rFonts w:ascii="Arial Narrow" w:hAnsi="Arial Narrow"/>
                                <w:b/>
                                <w:sz w:val="20"/>
                                <w:szCs w:val="20"/>
                              </w:rPr>
                              <w:fldChar w:fldCharType="separate"/>
                            </w:r>
                            <w:r w:rsidR="00A30454">
                              <w:rPr>
                                <w:rFonts w:ascii="Arial Narrow" w:hAnsi="Arial Narrow"/>
                                <w:b/>
                                <w:noProof/>
                                <w:sz w:val="20"/>
                                <w:szCs w:val="20"/>
                              </w:rPr>
                              <w:t>1</w:t>
                            </w:r>
                            <w:r w:rsidRPr="00926EEC">
                              <w:rPr>
                                <w:rFonts w:ascii="Arial Narrow" w:hAnsi="Arial Narrow"/>
                                <w:b/>
                                <w:sz w:val="20"/>
                                <w:szCs w:val="20"/>
                              </w:rPr>
                              <w:fldChar w:fldCharType="end"/>
                            </w:r>
                            <w:r w:rsidRPr="00926EEC">
                              <w:rPr>
                                <w:rFonts w:ascii="Arial Narrow" w:hAnsi="Arial Narrow"/>
                                <w:b/>
                                <w:sz w:val="20"/>
                                <w:szCs w:val="20"/>
                              </w:rPr>
                              <w:t>: (conceptual representation and not to scale): NSCLC population targeted across the 14 PD-</w:t>
                            </w:r>
                            <w:proofErr w:type="gramStart"/>
                            <w:r w:rsidRPr="00926EEC">
                              <w:rPr>
                                <w:rFonts w:ascii="Arial Narrow" w:hAnsi="Arial Narrow"/>
                                <w:b/>
                                <w:sz w:val="20"/>
                                <w:szCs w:val="20"/>
                              </w:rPr>
                              <w:t>L(</w:t>
                            </w:r>
                            <w:proofErr w:type="gramEnd"/>
                            <w:r w:rsidRPr="00926EEC">
                              <w:rPr>
                                <w:rFonts w:ascii="Arial Narrow" w:hAnsi="Arial Narrow"/>
                                <w:b/>
                                <w:sz w:val="20"/>
                                <w:szCs w:val="20"/>
                              </w:rPr>
                              <w:t>1) inhibitor submissions received by the PBAC (as at March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675E0" id="_x0000_t202" coordsize="21600,21600" o:spt="202" path="m,l,21600r21600,l21600,xe">
                <v:stroke joinstyle="miter"/>
                <v:path gradientshapeok="t" o:connecttype="rect"/>
              </v:shapetype>
              <v:shape id="Text Box 10" o:spid="_x0000_s1026" type="#_x0000_t202" style="position:absolute;margin-left:0;margin-top:13.7pt;width:466.45pt;height:24.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" stroked="f">
                <v:textbox inset="0,0,0,0">
                  <w:txbxContent>
                    <w:p w:rsidR="00926EEC" w:rsidRPr="00926EEC" w:rsidRDefault="00926EEC" w:rsidP="00926EEC">
                      <w:pPr>
                        <w:rPr>
                          <w:rFonts w:ascii="Arial Narrow" w:hAnsi="Arial Narrow"/>
                          <w:b/>
                          <w:sz w:val="20"/>
                          <w:szCs w:val="20"/>
                        </w:rPr>
                      </w:pPr>
                      <w:r w:rsidRPr="00926EEC">
                        <w:rPr>
                          <w:rFonts w:ascii="Arial Narrow" w:hAnsi="Arial Narrow"/>
                          <w:b/>
                          <w:sz w:val="20"/>
                          <w:szCs w:val="20"/>
                        </w:rPr>
                        <w:t xml:space="preserve">Figure </w:t>
                      </w:r>
                      <w:r w:rsidRPr="00926EEC">
                        <w:rPr>
                          <w:rFonts w:ascii="Arial Narrow" w:hAnsi="Arial Narrow"/>
                          <w:b/>
                          <w:sz w:val="20"/>
                          <w:szCs w:val="20"/>
                        </w:rPr>
                        <w:fldChar w:fldCharType="begin"/>
                      </w:r>
                      <w:r w:rsidRPr="00926EEC">
                        <w:rPr>
                          <w:rFonts w:ascii="Arial Narrow" w:hAnsi="Arial Narrow"/>
                          <w:b/>
                          <w:sz w:val="20"/>
                          <w:szCs w:val="20"/>
                        </w:rPr>
                        <w:instrText xml:space="preserve"> SEQ Figure \* ARABIC </w:instrText>
                      </w:r>
                      <w:r w:rsidRPr="00926EEC">
                        <w:rPr>
                          <w:rFonts w:ascii="Arial Narrow" w:hAnsi="Arial Narrow"/>
                          <w:b/>
                          <w:sz w:val="20"/>
                          <w:szCs w:val="20"/>
                        </w:rPr>
                        <w:fldChar w:fldCharType="separate"/>
                      </w:r>
                      <w:r w:rsidR="00A30454">
                        <w:rPr>
                          <w:rFonts w:ascii="Arial Narrow" w:hAnsi="Arial Narrow"/>
                          <w:b/>
                          <w:noProof/>
                          <w:sz w:val="20"/>
                          <w:szCs w:val="20"/>
                        </w:rPr>
                        <w:t>1</w:t>
                      </w:r>
                      <w:r w:rsidRPr="00926EEC">
                        <w:rPr>
                          <w:rFonts w:ascii="Arial Narrow" w:hAnsi="Arial Narrow"/>
                          <w:b/>
                          <w:sz w:val="20"/>
                          <w:szCs w:val="20"/>
                        </w:rPr>
                        <w:fldChar w:fldCharType="end"/>
                      </w:r>
                      <w:r w:rsidRPr="00926EEC">
                        <w:rPr>
                          <w:rFonts w:ascii="Arial Narrow" w:hAnsi="Arial Narrow"/>
                          <w:b/>
                          <w:sz w:val="20"/>
                          <w:szCs w:val="20"/>
                        </w:rPr>
                        <w:t>: (conceptual representation and not to scale): NSCLC population targeted across the 14 PD-</w:t>
                      </w:r>
                      <w:proofErr w:type="gramStart"/>
                      <w:r w:rsidRPr="00926EEC">
                        <w:rPr>
                          <w:rFonts w:ascii="Arial Narrow" w:hAnsi="Arial Narrow"/>
                          <w:b/>
                          <w:sz w:val="20"/>
                          <w:szCs w:val="20"/>
                        </w:rPr>
                        <w:t>L(</w:t>
                      </w:r>
                      <w:proofErr w:type="gramEnd"/>
                      <w:r w:rsidRPr="00926EEC">
                        <w:rPr>
                          <w:rFonts w:ascii="Arial Narrow" w:hAnsi="Arial Narrow"/>
                          <w:b/>
                          <w:sz w:val="20"/>
                          <w:szCs w:val="20"/>
                        </w:rPr>
                        <w:t>1) inhibitor submissions received by the PBAC (as at March 2019)</w:t>
                      </w:r>
                    </w:p>
                  </w:txbxContent>
                </v:textbox>
                <w10:wrap anchorx="margin"/>
              </v:shape>
            </w:pict>
          </mc:Fallback>
        </mc:AlternateContent>
      </w:r>
    </w:p>
    <w:p w:rsidR="00926EEC" w:rsidRDefault="00926EEC">
      <w:pPr>
        <w:rPr>
          <w:rFonts w:ascii="Arial Narrow" w:hAnsi="Arial Narrow"/>
          <w:b/>
          <w:sz w:val="20"/>
          <w:szCs w:val="20"/>
        </w:rPr>
      </w:pPr>
    </w:p>
    <w:p w:rsidR="00926EEC" w:rsidRDefault="00926EEC"/>
    <w:p w:rsidR="00CB2011" w:rsidRDefault="004F09BE">
      <w:r w:rsidRPr="0056615B">
        <w:t xml:space="preserve">The </w:t>
      </w:r>
      <w:r w:rsidR="0064010D">
        <w:t>clinical experts from MOGA</w:t>
      </w:r>
      <w:r w:rsidRPr="0056615B">
        <w:t xml:space="preserve"> considered that the prescribing choices made by oncologists are </w:t>
      </w:r>
      <w:r w:rsidR="00876E5D">
        <w:t>b</w:t>
      </w:r>
      <w:r w:rsidR="00876E5D" w:rsidRPr="00876E5D">
        <w:t xml:space="preserve">ased on </w:t>
      </w:r>
      <w:r w:rsidR="00876E5D">
        <w:t xml:space="preserve">the </w:t>
      </w:r>
      <w:r w:rsidR="00876E5D" w:rsidRPr="00876E5D">
        <w:t>clinical evidence available with regard to the appropriate t</w:t>
      </w:r>
      <w:r w:rsidR="00920B3E">
        <w:t xml:space="preserve">reatment-line and disease stage </w:t>
      </w:r>
      <w:r w:rsidRPr="0056615B">
        <w:t xml:space="preserve">and would remain so within the context of a broad listing.  The consumer representatives had some concerns that a broad PBS listing might result in variations in health care due to location, prescriber, or patient knowledge.  </w:t>
      </w:r>
    </w:p>
    <w:p w:rsidR="00555536" w:rsidRPr="00555536" w:rsidRDefault="00555536">
      <w:r>
        <w:t xml:space="preserve">The PBAC Chair clarified that </w:t>
      </w:r>
      <w:r w:rsidR="008E78F6">
        <w:t>c</w:t>
      </w:r>
      <w:r>
        <w:t>onsistent with</w:t>
      </w:r>
      <w:r w:rsidR="00D2780A">
        <w:t xml:space="preserve"> the</w:t>
      </w:r>
      <w:r>
        <w:t xml:space="preserve"> PBAC’s</w:t>
      </w:r>
      <w:r w:rsidR="002B0A9A">
        <w:t xml:space="preserve"> advice at the time of recommendation, </w:t>
      </w:r>
      <w:r>
        <w:t xml:space="preserve">under subsection 101 (3A) of the </w:t>
      </w:r>
      <w:r w:rsidRPr="00555536">
        <w:rPr>
          <w:i/>
        </w:rPr>
        <w:t>National Health Act 1953</w:t>
      </w:r>
      <w:r>
        <w:t xml:space="preserve">, </w:t>
      </w:r>
      <w:r w:rsidR="002B0A9A">
        <w:t xml:space="preserve">none of the </w:t>
      </w:r>
      <w:r w:rsidR="00876E5D">
        <w:t>three</w:t>
      </w:r>
      <w:r>
        <w:t xml:space="preserve"> PBS-listed </w:t>
      </w:r>
      <w:r w:rsidR="00313F60">
        <w:t>PD-(L</w:t>
      </w:r>
      <w:proofErr w:type="gramStart"/>
      <w:r w:rsidR="00313F60">
        <w:t>)1</w:t>
      </w:r>
      <w:proofErr w:type="gramEnd"/>
      <w:r w:rsidR="00313F60">
        <w:t xml:space="preserve"> inhibitor</w:t>
      </w:r>
      <w:r w:rsidR="002B0A9A">
        <w:t>s indicated for NSCLC,</w:t>
      </w:r>
      <w:r w:rsidR="00313F60">
        <w:t xml:space="preserve"> </w:t>
      </w:r>
      <w:r w:rsidR="002B0A9A">
        <w:t>are</w:t>
      </w:r>
      <w:r>
        <w:t xml:space="preserve"> considered interchangeable on an individual patient basis with any other </w:t>
      </w:r>
      <w:r w:rsidR="00920B3E">
        <w:t>PD-(L)1 drugs</w:t>
      </w:r>
      <w:r w:rsidR="002B0A9A">
        <w:t xml:space="preserve"> </w:t>
      </w:r>
      <w:r>
        <w:t xml:space="preserve">. </w:t>
      </w:r>
    </w:p>
    <w:p w:rsidR="00DC3F68" w:rsidRPr="008E526B" w:rsidRDefault="00642667" w:rsidP="000A024E">
      <w:pPr>
        <w:pStyle w:val="Heading3"/>
      </w:pPr>
      <w:r w:rsidRPr="008E526B">
        <w:t>Limiting access</w:t>
      </w:r>
      <w:r w:rsidR="004F09BE" w:rsidRPr="008E526B">
        <w:t xml:space="preserve"> to once per lifetime</w:t>
      </w:r>
    </w:p>
    <w:p w:rsidR="00876E5D" w:rsidRDefault="00AE3D88" w:rsidP="00134094">
      <w:r w:rsidRPr="008E526B">
        <w:t xml:space="preserve">A common </w:t>
      </w:r>
      <w:r w:rsidR="00876E5D">
        <w:t>challenge for a broad listing</w:t>
      </w:r>
      <w:r w:rsidR="00134094" w:rsidRPr="008E526B">
        <w:t xml:space="preserve"> </w:t>
      </w:r>
      <w:r w:rsidR="00876E5D">
        <w:t xml:space="preserve">raised by </w:t>
      </w:r>
      <w:r w:rsidR="00463A87" w:rsidRPr="008E526B">
        <w:t xml:space="preserve">stakeholders was the </w:t>
      </w:r>
      <w:r w:rsidR="00876E5D">
        <w:t xml:space="preserve">proposed </w:t>
      </w:r>
      <w:r w:rsidR="00463A87" w:rsidRPr="008E526B">
        <w:t>‘once in a lifetime’ restriction</w:t>
      </w:r>
      <w:r w:rsidR="00876E5D">
        <w:t>.</w:t>
      </w:r>
    </w:p>
    <w:p w:rsidR="002E26BA" w:rsidRDefault="00876E5D" w:rsidP="00134094">
      <w:r>
        <w:t xml:space="preserve">All stakeholders acknowledged that a once in a life-time restriction </w:t>
      </w:r>
      <w:r w:rsidR="002E26BA">
        <w:t xml:space="preserve">is currently </w:t>
      </w:r>
      <w:r w:rsidR="00463A87" w:rsidRPr="008E526B">
        <w:t>applied to P</w:t>
      </w:r>
      <w:r w:rsidR="00134094" w:rsidRPr="008E526B">
        <w:t>D-(L)1 inhibitor subsidy</w:t>
      </w:r>
      <w:r>
        <w:t xml:space="preserve"> for NSCLC and </w:t>
      </w:r>
      <w:r w:rsidRPr="008E526B">
        <w:t xml:space="preserve">is a result of a lack of evidence around re-initiation of </w:t>
      </w:r>
      <w:r>
        <w:t xml:space="preserve">PD-(L)1 </w:t>
      </w:r>
      <w:r w:rsidRPr="008E526B">
        <w:t>treatment in recurrent disease.</w:t>
      </w:r>
      <w:r w:rsidR="00134094" w:rsidRPr="008E526B">
        <w:t xml:space="preserve">  </w:t>
      </w:r>
    </w:p>
    <w:p w:rsidR="005A396A" w:rsidRDefault="00134094" w:rsidP="00134094">
      <w:r w:rsidRPr="008E526B">
        <w:t>All stakeholders expressed concern</w:t>
      </w:r>
      <w:r w:rsidR="004F09BE" w:rsidRPr="008E526B">
        <w:t>s</w:t>
      </w:r>
      <w:r w:rsidRPr="008E526B">
        <w:t xml:space="preserve"> with the inability for clinicians to </w:t>
      </w:r>
      <w:r w:rsidR="0064010D">
        <w:t>prescribe</w:t>
      </w:r>
      <w:r w:rsidRPr="008E526B">
        <w:t xml:space="preserve"> PBS-subsidised </w:t>
      </w:r>
      <w:r w:rsidR="0064010D">
        <w:t>re</w:t>
      </w:r>
      <w:r w:rsidRPr="008E526B">
        <w:t xml:space="preserve">treatment with a PD-(L)1 inhibitor, </w:t>
      </w:r>
      <w:r w:rsidR="004F09BE" w:rsidRPr="008E526B">
        <w:t>particularly on occasions where a patient was successfully treated with a PD-(L)1</w:t>
      </w:r>
      <w:r w:rsidRPr="008E526B">
        <w:t xml:space="preserve"> </w:t>
      </w:r>
      <w:r w:rsidR="004F09BE" w:rsidRPr="008E526B">
        <w:t>inhibitor and has experienced an extended period without disease progression</w:t>
      </w:r>
      <w:r w:rsidR="00876E5D">
        <w:t>, or has been successfully treated for Stage III disease and then presents with Stage IV disease</w:t>
      </w:r>
      <w:r w:rsidR="004F09BE" w:rsidRPr="008E526B">
        <w:t>.  The clinical and patient representatives were particularly</w:t>
      </w:r>
      <w:r w:rsidRPr="008E526B">
        <w:t xml:space="preserve"> concerned that the ‘on</w:t>
      </w:r>
      <w:r w:rsidR="00920B3E">
        <w:t>c</w:t>
      </w:r>
      <w:r w:rsidRPr="008E526B">
        <w:t>e in a lifetime’ restriction places significant barriers on the effective management of patients</w:t>
      </w:r>
      <w:r w:rsidR="004F09BE" w:rsidRPr="008E526B">
        <w:t xml:space="preserve">, including </w:t>
      </w:r>
      <w:r w:rsidR="00172FB7" w:rsidRPr="008E526B">
        <w:t>plac</w:t>
      </w:r>
      <w:r w:rsidR="004F09BE" w:rsidRPr="008E526B">
        <w:t>ing</w:t>
      </w:r>
      <w:r w:rsidR="00172FB7" w:rsidRPr="008E526B">
        <w:t xml:space="preserve"> undue stress on the prescriber and the patient </w:t>
      </w:r>
      <w:r w:rsidR="007D481F" w:rsidRPr="008E526B">
        <w:t>to optimally time the use of a PD</w:t>
      </w:r>
      <w:r w:rsidR="00172FB7" w:rsidRPr="008E526B">
        <w:t xml:space="preserve">-(L)1 inhibitor </w:t>
      </w:r>
      <w:r w:rsidR="007D481F" w:rsidRPr="008E526B">
        <w:t>in the treatment regimen</w:t>
      </w:r>
      <w:r w:rsidR="00172FB7" w:rsidRPr="008E526B">
        <w:t xml:space="preserve">. </w:t>
      </w:r>
    </w:p>
    <w:p w:rsidR="005E3B82" w:rsidRPr="008D5931" w:rsidRDefault="00854FDC" w:rsidP="00134094">
      <w:pPr>
        <w:rPr>
          <w:rFonts w:ascii="Times New Roman" w:hAnsi="Times New Roman" w:cs="Times New Roman"/>
          <w:sz w:val="24"/>
        </w:rPr>
      </w:pPr>
      <w:r>
        <w:t>T</w:t>
      </w:r>
      <w:r w:rsidR="005E3B82">
        <w:t xml:space="preserve">he clinical experts from MOGA made the </w:t>
      </w:r>
      <w:r>
        <w:t xml:space="preserve">further </w:t>
      </w:r>
      <w:r w:rsidR="005E3B82">
        <w:t xml:space="preserve">recommendation that stage III NSCLC and stage IV NSCLC should be considered separate clinical entities. </w:t>
      </w:r>
      <w:r w:rsidR="005A57F2">
        <w:t xml:space="preserve">MOGA’s view is that </w:t>
      </w:r>
      <w:r w:rsidR="005E3B82">
        <w:t>treatment ha</w:t>
      </w:r>
      <w:r w:rsidR="005A57F2">
        <w:t>s</w:t>
      </w:r>
      <w:r w:rsidR="005E3B82">
        <w:t xml:space="preserve"> the potential to be curative in a proportion of stage III patients as opposed to stage IV wh</w:t>
      </w:r>
      <w:r w:rsidR="00B410AD">
        <w:t xml:space="preserve">ich </w:t>
      </w:r>
      <w:r w:rsidR="005E3B82">
        <w:t>is considered incurable</w:t>
      </w:r>
      <w:r w:rsidR="005A57F2">
        <w:t>.  T</w:t>
      </w:r>
      <w:r w:rsidR="005E3B82">
        <w:t xml:space="preserve">he </w:t>
      </w:r>
      <w:r w:rsidR="005A57F2">
        <w:t xml:space="preserve">MOGA </w:t>
      </w:r>
      <w:r w:rsidR="005E3B82">
        <w:t>clinicians considered that if a br</w:t>
      </w:r>
      <w:r w:rsidR="00E674BC">
        <w:t>o</w:t>
      </w:r>
      <w:r w:rsidR="005E3B82">
        <w:t>ad lung listing does move forward, these two NSCLC stages should not be grouped together.</w:t>
      </w:r>
      <w:r w:rsidR="00457D1F">
        <w:t xml:space="preserve"> </w:t>
      </w:r>
      <w:r w:rsidR="00060676">
        <w:t xml:space="preserve">If </w:t>
      </w:r>
      <w:r w:rsidR="00E674BC">
        <w:t xml:space="preserve">a broad listing encompassing both stages does proceed, </w:t>
      </w:r>
      <w:r w:rsidR="00060676">
        <w:t xml:space="preserve">the MOGA representatives </w:t>
      </w:r>
      <w:r w:rsidR="001A47EA">
        <w:t>were of the opinion that</w:t>
      </w:r>
      <w:r w:rsidR="00060676">
        <w:t xml:space="preserve"> </w:t>
      </w:r>
      <w:r w:rsidR="00E674BC">
        <w:t xml:space="preserve">clinicians would be concerned if a </w:t>
      </w:r>
      <w:r>
        <w:t xml:space="preserve">limit </w:t>
      </w:r>
      <w:r w:rsidR="00E674BC">
        <w:t>on retreatment was applied (e.g. patients are only able to be re-treated if they relapse beyond a certain timeframe)</w:t>
      </w:r>
      <w:r w:rsidR="001A47EA">
        <w:t xml:space="preserve">. </w:t>
      </w:r>
      <w:r w:rsidR="00B9146B">
        <w:t xml:space="preserve">The MOGA clinicians present did not consider applying </w:t>
      </w:r>
      <w:r w:rsidR="006E446F">
        <w:t>a limit on</w:t>
      </w:r>
      <w:r w:rsidR="00B9146B">
        <w:t xml:space="preserve"> retreatment w</w:t>
      </w:r>
      <w:r w:rsidR="006E446F">
        <w:t>as</w:t>
      </w:r>
      <w:r w:rsidR="00B9146B">
        <w:t xml:space="preserve"> appropriate</w:t>
      </w:r>
      <w:r w:rsidR="006E446F">
        <w:t xml:space="preserve"> in this instance,</w:t>
      </w:r>
      <w:r w:rsidR="00B9146B">
        <w:t xml:space="preserve"> </w:t>
      </w:r>
      <w:r w:rsidR="00457D1F">
        <w:t xml:space="preserve">considering </w:t>
      </w:r>
      <w:r w:rsidR="00177055">
        <w:t xml:space="preserve">the </w:t>
      </w:r>
      <w:r w:rsidR="00457D1F">
        <w:t xml:space="preserve">absence of </w:t>
      </w:r>
      <w:r w:rsidR="00604867">
        <w:t xml:space="preserve">evidence </w:t>
      </w:r>
      <w:r w:rsidR="00457D1F">
        <w:t xml:space="preserve">of effect </w:t>
      </w:r>
      <w:r w:rsidR="00803EBE">
        <w:t>also means there is no evidence available to guide retreatment</w:t>
      </w:r>
      <w:r w:rsidR="005A57F2">
        <w:t>, therefore the decision should be left to the treating clinician and patient.</w:t>
      </w:r>
      <w:r w:rsidR="00E674BC">
        <w:t xml:space="preserve"> Th</w:t>
      </w:r>
      <w:r w:rsidR="00457D1F">
        <w:t>e MOGA</w:t>
      </w:r>
      <w:r w:rsidR="00E674BC">
        <w:t xml:space="preserve"> </w:t>
      </w:r>
      <w:r w:rsidR="00457D1F">
        <w:t xml:space="preserve">representatives </w:t>
      </w:r>
      <w:r w:rsidR="00E674BC">
        <w:t>considered</w:t>
      </w:r>
      <w:r w:rsidR="00604867">
        <w:t xml:space="preserve"> a</w:t>
      </w:r>
      <w:r w:rsidR="00E674BC">
        <w:t xml:space="preserve"> </w:t>
      </w:r>
      <w:r w:rsidR="00604867">
        <w:t>limit on retreatment</w:t>
      </w:r>
      <w:r w:rsidR="00E674BC">
        <w:t xml:space="preserve"> would lead to complexity and confusion, with the potential to deny patients active therapy</w:t>
      </w:r>
      <w:r>
        <w:t>.</w:t>
      </w:r>
      <w:r w:rsidR="00E674BC">
        <w:t xml:space="preserve"> </w:t>
      </w:r>
    </w:p>
    <w:p w:rsidR="002E26BA" w:rsidRDefault="005A396A" w:rsidP="00134094">
      <w:r w:rsidRPr="008E526B">
        <w:t xml:space="preserve">The clinicians present </w:t>
      </w:r>
      <w:r w:rsidR="00134094" w:rsidRPr="008E526B">
        <w:t xml:space="preserve">also expressed that the ‘once in a lifetime’ restriction disadvantages patients who are responding well to immunotherapy and are suitable candidates for a treatment break.  </w:t>
      </w:r>
      <w:r w:rsidRPr="008E526B">
        <w:t xml:space="preserve">This could lead to </w:t>
      </w:r>
      <w:r w:rsidR="00920B3E">
        <w:t>a</w:t>
      </w:r>
      <w:r w:rsidRPr="008E526B">
        <w:t xml:space="preserve"> situation w</w:t>
      </w:r>
      <w:r w:rsidR="00920B3E">
        <w:t>h</w:t>
      </w:r>
      <w:r w:rsidRPr="008E526B">
        <w:t xml:space="preserve">ere </w:t>
      </w:r>
      <w:r w:rsidR="00862862" w:rsidRPr="008E526B">
        <w:t>c</w:t>
      </w:r>
      <w:r w:rsidR="00134094" w:rsidRPr="008E526B">
        <w:t>linicians con</w:t>
      </w:r>
      <w:r w:rsidR="008B7ED3" w:rsidRPr="008E526B">
        <w:t>tinue treating these patients</w:t>
      </w:r>
      <w:r w:rsidR="00921854" w:rsidRPr="008E526B">
        <w:t xml:space="preserve"> </w:t>
      </w:r>
      <w:r w:rsidRPr="008E526B">
        <w:t xml:space="preserve">to avoid the current </w:t>
      </w:r>
      <w:r w:rsidR="00134094" w:rsidRPr="008E526B">
        <w:t>prohibiti</w:t>
      </w:r>
      <w:r w:rsidRPr="008E526B">
        <w:t>on</w:t>
      </w:r>
      <w:r w:rsidR="00134094" w:rsidRPr="008E526B">
        <w:t xml:space="preserve"> </w:t>
      </w:r>
      <w:r w:rsidRPr="008E526B">
        <w:t xml:space="preserve">on </w:t>
      </w:r>
      <w:r w:rsidR="00134094" w:rsidRPr="008E526B">
        <w:t>the re-initiation of treatment with a PD-(L</w:t>
      </w:r>
      <w:proofErr w:type="gramStart"/>
      <w:r w:rsidR="00134094" w:rsidRPr="008E526B">
        <w:t>)1</w:t>
      </w:r>
      <w:proofErr w:type="gramEnd"/>
      <w:r w:rsidR="00134094" w:rsidRPr="008E526B">
        <w:t xml:space="preserve"> inhibitor</w:t>
      </w:r>
      <w:r w:rsidRPr="008E526B">
        <w:t>.</w:t>
      </w:r>
    </w:p>
    <w:p w:rsidR="00862862" w:rsidRPr="008E526B" w:rsidRDefault="002E26BA" w:rsidP="00134094">
      <w:r w:rsidRPr="002E26BA">
        <w:t xml:space="preserve">Sequential </w:t>
      </w:r>
      <w:r w:rsidRPr="001C02C3">
        <w:t>treatment with PD-(L</w:t>
      </w:r>
      <w:proofErr w:type="gramStart"/>
      <w:r w:rsidRPr="001C02C3">
        <w:t>)1</w:t>
      </w:r>
      <w:proofErr w:type="gramEnd"/>
      <w:r w:rsidRPr="001C02C3">
        <w:t xml:space="preserve"> inhibitors in patients unresponsive to previous PD-(L)1 inhibitor treatment was also discussed. In this instance, </w:t>
      </w:r>
      <w:r w:rsidR="00B47036">
        <w:t>the clinicians present</w:t>
      </w:r>
      <w:r w:rsidRPr="001C02C3">
        <w:t xml:space="preserve"> were not in </w:t>
      </w:r>
      <w:r w:rsidR="00AC7125">
        <w:t>favour of relaxing the current ‘</w:t>
      </w:r>
      <w:r w:rsidRPr="001C02C3">
        <w:t>on</w:t>
      </w:r>
      <w:r w:rsidR="00AC7125">
        <w:t>ce in a life time’</w:t>
      </w:r>
      <w:r w:rsidRPr="001C02C3">
        <w:t xml:space="preserve"> restriction</w:t>
      </w:r>
      <w:r w:rsidR="00920B3E">
        <w:t>,</w:t>
      </w:r>
      <w:r w:rsidRPr="001C02C3">
        <w:t xml:space="preserve"> due to a lack of evidence.</w:t>
      </w:r>
    </w:p>
    <w:p w:rsidR="00134094" w:rsidRDefault="00862862" w:rsidP="00134094">
      <w:r w:rsidRPr="008E526B">
        <w:t>The PBAC members were sympathetic to the issues arising from maintaining the ‘once in a lifetime’ restriction</w:t>
      </w:r>
      <w:r w:rsidR="00876E5D">
        <w:t>.</w:t>
      </w:r>
      <w:r w:rsidR="00920B3E">
        <w:t xml:space="preserve"> </w:t>
      </w:r>
      <w:r w:rsidR="005A396A" w:rsidRPr="008E526B">
        <w:t xml:space="preserve">The Committee members made a commitment to look at mechanisms for dealing with </w:t>
      </w:r>
      <w:r w:rsidR="002E26BA">
        <w:t xml:space="preserve">shorter </w:t>
      </w:r>
      <w:r w:rsidR="005A396A" w:rsidRPr="008E526B">
        <w:t>treatment breaks.</w:t>
      </w:r>
    </w:p>
    <w:p w:rsidR="00DC3F68" w:rsidRDefault="005A396A" w:rsidP="00134094">
      <w:r w:rsidRPr="008E526B">
        <w:t>All attendees acknowledged that i</w:t>
      </w:r>
      <w:r w:rsidR="00134094" w:rsidRPr="008E526B">
        <w:t xml:space="preserve">f evidence were to emerge </w:t>
      </w:r>
      <w:r w:rsidRPr="008E526B">
        <w:t xml:space="preserve">indicating </w:t>
      </w:r>
      <w:r w:rsidR="00134094" w:rsidRPr="008E526B">
        <w:t xml:space="preserve">that sequential </w:t>
      </w:r>
      <w:r w:rsidRPr="008E526B">
        <w:t>treatment</w:t>
      </w:r>
      <w:r w:rsidR="00134094" w:rsidRPr="008E526B">
        <w:t xml:space="preserve"> </w:t>
      </w:r>
      <w:r w:rsidR="00B47036">
        <w:t xml:space="preserve">of </w:t>
      </w:r>
      <w:r w:rsidR="00134094" w:rsidRPr="008E526B">
        <w:t>PD-(L</w:t>
      </w:r>
      <w:proofErr w:type="gramStart"/>
      <w:r w:rsidR="00134094" w:rsidRPr="008E526B">
        <w:t>)1</w:t>
      </w:r>
      <w:proofErr w:type="gramEnd"/>
      <w:r w:rsidR="00134094" w:rsidRPr="008E526B">
        <w:t xml:space="preserve"> inhibitors</w:t>
      </w:r>
      <w:r w:rsidR="00854FDC">
        <w:t xml:space="preserve"> in NSCLC</w:t>
      </w:r>
      <w:r w:rsidR="00134094" w:rsidRPr="008E526B">
        <w:t xml:space="preserve"> was effective</w:t>
      </w:r>
      <w:r w:rsidRPr="008E526B">
        <w:t xml:space="preserve"> and cost-effective</w:t>
      </w:r>
      <w:r w:rsidR="00134094" w:rsidRPr="008E526B">
        <w:t xml:space="preserve">, then </w:t>
      </w:r>
      <w:r w:rsidRPr="008E526B">
        <w:t xml:space="preserve">the PBAC </w:t>
      </w:r>
      <w:r w:rsidR="00134094" w:rsidRPr="008E526B">
        <w:t>would reconsider</w:t>
      </w:r>
      <w:r w:rsidRPr="008E526B">
        <w:t xml:space="preserve"> this restriction</w:t>
      </w:r>
      <w:r w:rsidR="00134094" w:rsidRPr="008E526B">
        <w:t>.</w:t>
      </w:r>
      <w:r w:rsidR="00DF4872">
        <w:t xml:space="preserve">  Alternatively, sequential treatment co</w:t>
      </w:r>
      <w:r w:rsidR="00920B3E">
        <w:t>uld be facilitated through pricing</w:t>
      </w:r>
      <w:r w:rsidR="00DF4872">
        <w:t xml:space="preserve"> and financial mechanisms.</w:t>
      </w:r>
    </w:p>
    <w:p w:rsidR="00134094" w:rsidRPr="008E526B" w:rsidRDefault="009C091B" w:rsidP="009C091B">
      <w:pPr>
        <w:pStyle w:val="Heading3"/>
      </w:pPr>
      <w:r w:rsidRPr="008E526B">
        <w:t>Consideration of new evidence</w:t>
      </w:r>
    </w:p>
    <w:p w:rsidR="00B52B1F" w:rsidRPr="008E526B" w:rsidRDefault="00B52B1F" w:rsidP="00B52B1F">
      <w:r w:rsidRPr="008E526B">
        <w:t xml:space="preserve">There were a number of concerns raised relating to the ability for a broad listing to evolve as new clinical evidence becomes available.  </w:t>
      </w:r>
      <w:r w:rsidR="005A396A" w:rsidRPr="008E526B">
        <w:t>Attendees wanted to en</w:t>
      </w:r>
      <w:r w:rsidRPr="008E526B">
        <w:t xml:space="preserve">sure that if a broad NSCLC listing was to be implemented, any new evidence relating to new treatments or variations to current treatments would be incorporated.  This included new evidence related to biomarkers. </w:t>
      </w:r>
    </w:p>
    <w:p w:rsidR="00B52B1F" w:rsidRPr="008E526B" w:rsidRDefault="00B52B1F" w:rsidP="00B52B1F">
      <w:r w:rsidRPr="008E526B">
        <w:t>The PBAC Chair confirmed</w:t>
      </w:r>
      <w:r w:rsidR="005A396A" w:rsidRPr="008E526B">
        <w:t xml:space="preserve"> as</w:t>
      </w:r>
      <w:r w:rsidRPr="008E526B">
        <w:t xml:space="preserve"> is currently the case</w:t>
      </w:r>
      <w:r w:rsidR="008123A9">
        <w:t>,</w:t>
      </w:r>
      <w:r w:rsidRPr="008E526B">
        <w:t xml:space="preserve"> if new evidence becomes available, sponsors are able to </w:t>
      </w:r>
      <w:r w:rsidR="00862862" w:rsidRPr="008E526B">
        <w:t xml:space="preserve">make </w:t>
      </w:r>
      <w:r w:rsidRPr="008E526B">
        <w:t>submissions to the PBAC for consideration</w:t>
      </w:r>
      <w:r w:rsidR="005A396A" w:rsidRPr="008E526B">
        <w:t xml:space="preserve"> of amendments to the conditions of subsidy</w:t>
      </w:r>
      <w:r w:rsidRPr="008E526B">
        <w:t xml:space="preserve">.  </w:t>
      </w:r>
      <w:r w:rsidR="005A396A" w:rsidRPr="008E526B">
        <w:t>A</w:t>
      </w:r>
      <w:r w:rsidRPr="008E526B">
        <w:t xml:space="preserve">ny new </w:t>
      </w:r>
      <w:r w:rsidR="00862862" w:rsidRPr="008E526B">
        <w:t>PD-(L</w:t>
      </w:r>
      <w:proofErr w:type="gramStart"/>
      <w:r w:rsidR="00862862" w:rsidRPr="008E526B">
        <w:t>)1</w:t>
      </w:r>
      <w:proofErr w:type="gramEnd"/>
      <w:r w:rsidR="00862862" w:rsidRPr="008E526B">
        <w:t xml:space="preserve"> inhibitor treatments that</w:t>
      </w:r>
      <w:r w:rsidRPr="008E526B">
        <w:t xml:space="preserve"> become available</w:t>
      </w:r>
      <w:r w:rsidR="005A396A" w:rsidRPr="008E526B">
        <w:t xml:space="preserve"> </w:t>
      </w:r>
      <w:r w:rsidRPr="008E526B">
        <w:t xml:space="preserve">would be eligible for inclusion in the broad NSCLC listing.  New evidence in the </w:t>
      </w:r>
      <w:r w:rsidR="00862862" w:rsidRPr="008E526B">
        <w:t>combination</w:t>
      </w:r>
      <w:r w:rsidRPr="008E526B">
        <w:t xml:space="preserve"> </w:t>
      </w:r>
      <w:r w:rsidR="00862862" w:rsidRPr="008E526B">
        <w:t>setting</w:t>
      </w:r>
      <w:r w:rsidR="005A396A" w:rsidRPr="008E526B">
        <w:t>, or in relation to biomarkers</w:t>
      </w:r>
      <w:r w:rsidR="00862862" w:rsidRPr="008E526B">
        <w:t xml:space="preserve"> </w:t>
      </w:r>
      <w:r w:rsidR="005A396A" w:rsidRPr="008E526B">
        <w:t xml:space="preserve">can </w:t>
      </w:r>
      <w:r w:rsidR="00862862" w:rsidRPr="008E526B">
        <w:t xml:space="preserve">also be considered </w:t>
      </w:r>
      <w:r w:rsidRPr="008E526B">
        <w:t>as it becomes available and ap</w:t>
      </w:r>
      <w:r w:rsidR="00862862" w:rsidRPr="008E526B">
        <w:t>propriately accounted for in a</w:t>
      </w:r>
      <w:r w:rsidRPr="008E526B">
        <w:t xml:space="preserve"> </w:t>
      </w:r>
      <w:r w:rsidR="00420826" w:rsidRPr="008E526B">
        <w:t xml:space="preserve">broad </w:t>
      </w:r>
      <w:r w:rsidRPr="008E526B">
        <w:t xml:space="preserve">NSCLC listing. </w:t>
      </w:r>
    </w:p>
    <w:p w:rsidR="009E382D" w:rsidRDefault="009E382D" w:rsidP="009E382D">
      <w:pPr>
        <w:pStyle w:val="Heading2"/>
      </w:pPr>
      <w:r w:rsidRPr="008E526B">
        <w:t>Next Steps</w:t>
      </w:r>
    </w:p>
    <w:p w:rsidR="004F09BE" w:rsidRPr="0068675F" w:rsidRDefault="0056615B" w:rsidP="004F09BE">
      <w:pPr>
        <w:rPr>
          <w:strike/>
        </w:rPr>
      </w:pPr>
      <w:r>
        <w:t>The PBAC Chair thanked participants for their time in attending the stakeholder meeting and for their interest in working collaboratively on the potential broad listing for PD-(L</w:t>
      </w:r>
      <w:proofErr w:type="gramStart"/>
      <w:r>
        <w:t>)1</w:t>
      </w:r>
      <w:proofErr w:type="gramEnd"/>
      <w:r>
        <w:t xml:space="preserve"> inhibitors.  The PBAC Chair considered the meeting had usefully identified a range of issues </w:t>
      </w:r>
      <w:r w:rsidR="0068675F">
        <w:t xml:space="preserve">associated with a broad </w:t>
      </w:r>
      <w:r w:rsidR="0068675F" w:rsidRPr="008E78F6">
        <w:t>listing but none precluded further consideration of options for a broader listing.  It was also noted that most of the issues</w:t>
      </w:r>
      <w:r w:rsidR="0064010D">
        <w:t xml:space="preserve"> identifie</w:t>
      </w:r>
      <w:r w:rsidR="00AD5F7E">
        <w:t>d in relation to a broad listing</w:t>
      </w:r>
      <w:r w:rsidR="0064010D">
        <w:t xml:space="preserve"> for NSCLC would </w:t>
      </w:r>
      <w:r w:rsidR="0068675F" w:rsidRPr="008E78F6">
        <w:t>also</w:t>
      </w:r>
      <w:r w:rsidR="0064010D">
        <w:t xml:space="preserve"> apply </w:t>
      </w:r>
      <w:r w:rsidR="0068675F" w:rsidRPr="008E78F6">
        <w:t xml:space="preserve">to </w:t>
      </w:r>
      <w:r w:rsidR="0064010D">
        <w:t xml:space="preserve">any future </w:t>
      </w:r>
      <w:r w:rsidR="0068675F" w:rsidRPr="008E78F6">
        <w:t xml:space="preserve">multi-tumour listings. </w:t>
      </w:r>
      <w:r w:rsidRPr="008E78F6">
        <w:t xml:space="preserve"> </w:t>
      </w:r>
    </w:p>
    <w:p w:rsidR="00280050" w:rsidRPr="00134094" w:rsidRDefault="004C2552" w:rsidP="00134094">
      <w:r>
        <w:t>The Chair proposed that sponsor</w:t>
      </w:r>
      <w:r w:rsidR="00AC7125">
        <w:t>s</w:t>
      </w:r>
      <w:r>
        <w:t xml:space="preserve"> confirm their interest in progressing this matter within a fortnight of the meeting and, if there is sufficient interest</w:t>
      </w:r>
      <w:r w:rsidR="00AC7125">
        <w:t>,</w:t>
      </w:r>
      <w:r>
        <w:t xml:space="preserve"> a</w:t>
      </w:r>
      <w:r w:rsidR="00796FB7" w:rsidRPr="008E526B">
        <w:t xml:space="preserve"> closing</w:t>
      </w:r>
      <w:r w:rsidR="00AA28DF" w:rsidRPr="008E526B">
        <w:t xml:space="preserve"> date for proposals </w:t>
      </w:r>
      <w:r>
        <w:t xml:space="preserve">would </w:t>
      </w:r>
      <w:r w:rsidR="00AA28DF" w:rsidRPr="008E526B">
        <w:t>be provided to sponsors</w:t>
      </w:r>
      <w:r w:rsidR="00796FB7" w:rsidRPr="008E526B">
        <w:t xml:space="preserve"> following the stakeholder meeting</w:t>
      </w:r>
      <w:r w:rsidR="00AA28DF" w:rsidRPr="008E526B">
        <w:t>.</w:t>
      </w:r>
      <w:r w:rsidR="008E78F6">
        <w:t xml:space="preserve">  The Chair noted </w:t>
      </w:r>
      <w:r w:rsidR="00BC1862">
        <w:t>it is open to</w:t>
      </w:r>
      <w:r>
        <w:t xml:space="preserve"> sponsors to make new listing proposals to PBAC at any time, irrespective of this process.</w:t>
      </w:r>
    </w:p>
    <w:sectPr w:rsidR="00280050" w:rsidRPr="00134094" w:rsidSect="00D762A4">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2A4" w:rsidRDefault="00D762A4" w:rsidP="002173D1">
      <w:pPr>
        <w:spacing w:after="0" w:line="240" w:lineRule="auto"/>
      </w:pPr>
      <w:r>
        <w:separator/>
      </w:r>
    </w:p>
  </w:endnote>
  <w:endnote w:type="continuationSeparator" w:id="0">
    <w:p w:rsidR="00D762A4" w:rsidRDefault="00D762A4" w:rsidP="0021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647" w:rsidRDefault="002E6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968263"/>
      <w:docPartObj>
        <w:docPartGallery w:val="Page Numbers (Bottom of Page)"/>
        <w:docPartUnique/>
      </w:docPartObj>
    </w:sdtPr>
    <w:sdtEndPr>
      <w:rPr>
        <w:noProof/>
      </w:rPr>
    </w:sdtEndPr>
    <w:sdtContent>
      <w:p w:rsidR="002173D1" w:rsidRDefault="002173D1">
        <w:pPr>
          <w:pStyle w:val="Footer"/>
          <w:jc w:val="right"/>
        </w:pPr>
        <w:r>
          <w:fldChar w:fldCharType="begin"/>
        </w:r>
        <w:r>
          <w:instrText xml:space="preserve"> PAGE   \* MERGEFORMAT </w:instrText>
        </w:r>
        <w:r>
          <w:fldChar w:fldCharType="separate"/>
        </w:r>
        <w:r w:rsidR="00A30454">
          <w:rPr>
            <w:noProof/>
          </w:rPr>
          <w:t>6</w:t>
        </w:r>
        <w:r>
          <w:rPr>
            <w:noProof/>
          </w:rPr>
          <w:fldChar w:fldCharType="end"/>
        </w:r>
      </w:p>
    </w:sdtContent>
  </w:sdt>
  <w:p w:rsidR="002173D1" w:rsidRDefault="002173D1" w:rsidP="002173D1">
    <w:pPr>
      <w:pStyle w:val="Footer"/>
      <w:tabs>
        <w:tab w:val="clear" w:pos="4513"/>
        <w:tab w:val="clear" w:pos="9026"/>
        <w:tab w:val="left" w:pos="2687"/>
      </w:tabs>
    </w:pPr>
    <w:r>
      <w:tab/>
      <w:t>Committee-In-Confidence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647" w:rsidRDefault="002E6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2A4" w:rsidRDefault="00D762A4" w:rsidP="002173D1">
      <w:pPr>
        <w:spacing w:after="0" w:line="240" w:lineRule="auto"/>
      </w:pPr>
      <w:r>
        <w:separator/>
      </w:r>
    </w:p>
  </w:footnote>
  <w:footnote w:type="continuationSeparator" w:id="0">
    <w:p w:rsidR="00D762A4" w:rsidRDefault="00D762A4" w:rsidP="00217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647" w:rsidRDefault="002E6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647" w:rsidRDefault="002E6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647" w:rsidRDefault="002E6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55203"/>
    <w:multiLevelType w:val="hybridMultilevel"/>
    <w:tmpl w:val="11985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E44B66"/>
    <w:multiLevelType w:val="hybridMultilevel"/>
    <w:tmpl w:val="FF4469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6C6D62"/>
    <w:multiLevelType w:val="hybridMultilevel"/>
    <w:tmpl w:val="1320F6F0"/>
    <w:lvl w:ilvl="0" w:tplc="6ED457E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6A1ED0"/>
    <w:multiLevelType w:val="hybridMultilevel"/>
    <w:tmpl w:val="B286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5F3315"/>
    <w:multiLevelType w:val="hybridMultilevel"/>
    <w:tmpl w:val="1660D1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00C086F"/>
    <w:multiLevelType w:val="hybridMultilevel"/>
    <w:tmpl w:val="86329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6B5"/>
    <w:rsid w:val="00022152"/>
    <w:rsid w:val="00060676"/>
    <w:rsid w:val="00067EDB"/>
    <w:rsid w:val="000A024E"/>
    <w:rsid w:val="000D7E47"/>
    <w:rsid w:val="000F3141"/>
    <w:rsid w:val="00124358"/>
    <w:rsid w:val="00125CF7"/>
    <w:rsid w:val="00134094"/>
    <w:rsid w:val="001673D5"/>
    <w:rsid w:val="00172FB7"/>
    <w:rsid w:val="001747C6"/>
    <w:rsid w:val="00177055"/>
    <w:rsid w:val="001845C4"/>
    <w:rsid w:val="001A47EA"/>
    <w:rsid w:val="001C2D12"/>
    <w:rsid w:val="001D620B"/>
    <w:rsid w:val="002015E1"/>
    <w:rsid w:val="00203B61"/>
    <w:rsid w:val="002173D1"/>
    <w:rsid w:val="00226E2B"/>
    <w:rsid w:val="00230E9B"/>
    <w:rsid w:val="00232F40"/>
    <w:rsid w:val="00254695"/>
    <w:rsid w:val="00280050"/>
    <w:rsid w:val="002B0A9A"/>
    <w:rsid w:val="002D18D2"/>
    <w:rsid w:val="002E26BA"/>
    <w:rsid w:val="002E6647"/>
    <w:rsid w:val="002E75A2"/>
    <w:rsid w:val="002F1F7C"/>
    <w:rsid w:val="002F6AA1"/>
    <w:rsid w:val="0031090B"/>
    <w:rsid w:val="00312C43"/>
    <w:rsid w:val="00313F60"/>
    <w:rsid w:val="003201EC"/>
    <w:rsid w:val="00382BFD"/>
    <w:rsid w:val="003A7917"/>
    <w:rsid w:val="003C6F02"/>
    <w:rsid w:val="003E0488"/>
    <w:rsid w:val="00400926"/>
    <w:rsid w:val="00420826"/>
    <w:rsid w:val="00427B91"/>
    <w:rsid w:val="004357AC"/>
    <w:rsid w:val="004409DD"/>
    <w:rsid w:val="00453040"/>
    <w:rsid w:val="0045368F"/>
    <w:rsid w:val="00457D1F"/>
    <w:rsid w:val="00463A87"/>
    <w:rsid w:val="0046553E"/>
    <w:rsid w:val="00474FF1"/>
    <w:rsid w:val="004A6F47"/>
    <w:rsid w:val="004C2552"/>
    <w:rsid w:val="004D5FD7"/>
    <w:rsid w:val="004E299B"/>
    <w:rsid w:val="004F09BE"/>
    <w:rsid w:val="00555536"/>
    <w:rsid w:val="00563257"/>
    <w:rsid w:val="0056615B"/>
    <w:rsid w:val="00582186"/>
    <w:rsid w:val="005821CE"/>
    <w:rsid w:val="005A396A"/>
    <w:rsid w:val="005A57F2"/>
    <w:rsid w:val="005B498A"/>
    <w:rsid w:val="005E3B82"/>
    <w:rsid w:val="00604867"/>
    <w:rsid w:val="00611939"/>
    <w:rsid w:val="00612785"/>
    <w:rsid w:val="00620854"/>
    <w:rsid w:val="006267BC"/>
    <w:rsid w:val="0064010D"/>
    <w:rsid w:val="00642667"/>
    <w:rsid w:val="00652D35"/>
    <w:rsid w:val="0068675F"/>
    <w:rsid w:val="006C5630"/>
    <w:rsid w:val="006D4AFC"/>
    <w:rsid w:val="006E446F"/>
    <w:rsid w:val="006E59AD"/>
    <w:rsid w:val="007072E5"/>
    <w:rsid w:val="00751158"/>
    <w:rsid w:val="007773AC"/>
    <w:rsid w:val="00796FB7"/>
    <w:rsid w:val="007A1104"/>
    <w:rsid w:val="007A36B5"/>
    <w:rsid w:val="007A6234"/>
    <w:rsid w:val="007B5A21"/>
    <w:rsid w:val="007D481F"/>
    <w:rsid w:val="00803EBE"/>
    <w:rsid w:val="008111A0"/>
    <w:rsid w:val="008123A9"/>
    <w:rsid w:val="00816CC4"/>
    <w:rsid w:val="00854903"/>
    <w:rsid w:val="00854FDC"/>
    <w:rsid w:val="00862862"/>
    <w:rsid w:val="0087556E"/>
    <w:rsid w:val="00876E5D"/>
    <w:rsid w:val="00883D08"/>
    <w:rsid w:val="00897060"/>
    <w:rsid w:val="008B7ED3"/>
    <w:rsid w:val="008C33C7"/>
    <w:rsid w:val="008D5931"/>
    <w:rsid w:val="008E526B"/>
    <w:rsid w:val="008E78F6"/>
    <w:rsid w:val="009071EB"/>
    <w:rsid w:val="00920B3E"/>
    <w:rsid w:val="00921854"/>
    <w:rsid w:val="00926EEC"/>
    <w:rsid w:val="00940E04"/>
    <w:rsid w:val="0094764A"/>
    <w:rsid w:val="00970F81"/>
    <w:rsid w:val="00977A65"/>
    <w:rsid w:val="00985298"/>
    <w:rsid w:val="0099400D"/>
    <w:rsid w:val="009A45AF"/>
    <w:rsid w:val="009B5150"/>
    <w:rsid w:val="009C091B"/>
    <w:rsid w:val="009C1E94"/>
    <w:rsid w:val="009C2D17"/>
    <w:rsid w:val="009E382D"/>
    <w:rsid w:val="00A30454"/>
    <w:rsid w:val="00A36EEA"/>
    <w:rsid w:val="00A8211C"/>
    <w:rsid w:val="00AA255A"/>
    <w:rsid w:val="00AA28DF"/>
    <w:rsid w:val="00AC7125"/>
    <w:rsid w:val="00AD5F7E"/>
    <w:rsid w:val="00AE3D88"/>
    <w:rsid w:val="00B12E30"/>
    <w:rsid w:val="00B15C8E"/>
    <w:rsid w:val="00B410AD"/>
    <w:rsid w:val="00B47036"/>
    <w:rsid w:val="00B52B1F"/>
    <w:rsid w:val="00B55B7E"/>
    <w:rsid w:val="00B65458"/>
    <w:rsid w:val="00B9146B"/>
    <w:rsid w:val="00BC1862"/>
    <w:rsid w:val="00BD4398"/>
    <w:rsid w:val="00C0380B"/>
    <w:rsid w:val="00C6349A"/>
    <w:rsid w:val="00C70275"/>
    <w:rsid w:val="00CB2011"/>
    <w:rsid w:val="00CC1E93"/>
    <w:rsid w:val="00CC3A8E"/>
    <w:rsid w:val="00CC4EC8"/>
    <w:rsid w:val="00CD2F6E"/>
    <w:rsid w:val="00CD66E5"/>
    <w:rsid w:val="00D2780A"/>
    <w:rsid w:val="00D5205A"/>
    <w:rsid w:val="00D760F8"/>
    <w:rsid w:val="00D762A4"/>
    <w:rsid w:val="00DC3F68"/>
    <w:rsid w:val="00DD3D84"/>
    <w:rsid w:val="00DF4872"/>
    <w:rsid w:val="00E20212"/>
    <w:rsid w:val="00E311F9"/>
    <w:rsid w:val="00E459A9"/>
    <w:rsid w:val="00E565D1"/>
    <w:rsid w:val="00E674BC"/>
    <w:rsid w:val="00E70F3D"/>
    <w:rsid w:val="00E766C9"/>
    <w:rsid w:val="00EB4580"/>
    <w:rsid w:val="00EB6978"/>
    <w:rsid w:val="00EC00E4"/>
    <w:rsid w:val="00EC16A5"/>
    <w:rsid w:val="00ED4983"/>
    <w:rsid w:val="00ED70FB"/>
    <w:rsid w:val="00EE282F"/>
    <w:rsid w:val="00F14D6C"/>
    <w:rsid w:val="00F32A0D"/>
    <w:rsid w:val="00F703EE"/>
    <w:rsid w:val="00F77098"/>
    <w:rsid w:val="00F93CCD"/>
    <w:rsid w:val="00FE2060"/>
    <w:rsid w:val="00FE2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54B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6B5"/>
    <w:rPr>
      <w:rFonts w:asciiTheme="minorHAnsi" w:hAnsiTheme="minorHAnsi" w:cstheme="minorHAnsi"/>
      <w:sz w:val="22"/>
    </w:rPr>
  </w:style>
  <w:style w:type="paragraph" w:styleId="Heading1">
    <w:name w:val="heading 1"/>
    <w:basedOn w:val="Normal"/>
    <w:next w:val="Normal"/>
    <w:link w:val="Heading1Char"/>
    <w:uiPriority w:val="9"/>
    <w:qFormat/>
    <w:rsid w:val="007A36B5"/>
    <w:pPr>
      <w:jc w:val="center"/>
      <w:outlineLvl w:val="0"/>
    </w:pPr>
    <w:rPr>
      <w:b/>
      <w:sz w:val="28"/>
    </w:rPr>
  </w:style>
  <w:style w:type="paragraph" w:styleId="Heading2">
    <w:name w:val="heading 2"/>
    <w:basedOn w:val="Normal"/>
    <w:next w:val="Normal"/>
    <w:link w:val="Heading2Char"/>
    <w:uiPriority w:val="9"/>
    <w:unhideWhenUsed/>
    <w:qFormat/>
    <w:rsid w:val="007A36B5"/>
    <w:pPr>
      <w:outlineLvl w:val="1"/>
    </w:pPr>
    <w:rPr>
      <w:b/>
      <w:sz w:val="24"/>
    </w:rPr>
  </w:style>
  <w:style w:type="paragraph" w:styleId="Heading3">
    <w:name w:val="heading 3"/>
    <w:basedOn w:val="Normal"/>
    <w:next w:val="Normal"/>
    <w:link w:val="Heading3Char"/>
    <w:uiPriority w:val="9"/>
    <w:unhideWhenUsed/>
    <w:qFormat/>
    <w:rsid w:val="000A024E"/>
    <w:pPr>
      <w:outlineLvl w:val="2"/>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6B5"/>
    <w:rPr>
      <w:rFonts w:asciiTheme="minorHAnsi" w:hAnsiTheme="minorHAnsi" w:cstheme="minorHAnsi"/>
      <w:b/>
      <w:sz w:val="28"/>
    </w:rPr>
  </w:style>
  <w:style w:type="character" w:customStyle="1" w:styleId="Heading2Char">
    <w:name w:val="Heading 2 Char"/>
    <w:basedOn w:val="DefaultParagraphFont"/>
    <w:link w:val="Heading2"/>
    <w:uiPriority w:val="9"/>
    <w:rsid w:val="007A36B5"/>
    <w:rPr>
      <w:rFonts w:asciiTheme="minorHAnsi" w:hAnsiTheme="minorHAnsi" w:cstheme="minorHAnsi"/>
      <w:b/>
    </w:rPr>
  </w:style>
  <w:style w:type="paragraph" w:styleId="ListParagraph">
    <w:name w:val="List Paragraph"/>
    <w:basedOn w:val="Normal"/>
    <w:uiPriority w:val="34"/>
    <w:qFormat/>
    <w:rsid w:val="007A36B5"/>
    <w:pPr>
      <w:ind w:left="720"/>
      <w:contextualSpacing/>
    </w:pPr>
  </w:style>
  <w:style w:type="table" w:styleId="TableGrid">
    <w:name w:val="Table Grid"/>
    <w:aliases w:val="Summary box,Table Gridbeth,ASD Table"/>
    <w:basedOn w:val="TableNormal"/>
    <w:uiPriority w:val="59"/>
    <w:rsid w:val="007A36B5"/>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A024E"/>
    <w:rPr>
      <w:rFonts w:ascii="Arial" w:hAnsi="Arial" w:cs="Arial"/>
      <w:i/>
      <w:sz w:val="20"/>
    </w:rPr>
  </w:style>
  <w:style w:type="character" w:styleId="Hyperlink">
    <w:name w:val="Hyperlink"/>
    <w:basedOn w:val="DefaultParagraphFont"/>
    <w:uiPriority w:val="99"/>
    <w:unhideWhenUsed/>
    <w:rsid w:val="00D5205A"/>
    <w:rPr>
      <w:color w:val="0000FF" w:themeColor="hyperlink"/>
      <w:u w:val="single"/>
    </w:rPr>
  </w:style>
  <w:style w:type="paragraph" w:styleId="BalloonText">
    <w:name w:val="Balloon Text"/>
    <w:basedOn w:val="Normal"/>
    <w:link w:val="BalloonTextChar"/>
    <w:uiPriority w:val="99"/>
    <w:semiHidden/>
    <w:unhideWhenUsed/>
    <w:rsid w:val="00612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785"/>
    <w:rPr>
      <w:rFonts w:ascii="Segoe UI" w:hAnsi="Segoe UI" w:cs="Segoe UI"/>
      <w:sz w:val="18"/>
      <w:szCs w:val="18"/>
    </w:rPr>
  </w:style>
  <w:style w:type="character" w:styleId="CommentReference">
    <w:name w:val="annotation reference"/>
    <w:basedOn w:val="DefaultParagraphFont"/>
    <w:uiPriority w:val="99"/>
    <w:semiHidden/>
    <w:unhideWhenUsed/>
    <w:rsid w:val="00232F40"/>
    <w:rPr>
      <w:sz w:val="16"/>
      <w:szCs w:val="16"/>
    </w:rPr>
  </w:style>
  <w:style w:type="paragraph" w:styleId="CommentText">
    <w:name w:val="annotation text"/>
    <w:basedOn w:val="Normal"/>
    <w:link w:val="CommentTextChar"/>
    <w:uiPriority w:val="99"/>
    <w:semiHidden/>
    <w:unhideWhenUsed/>
    <w:rsid w:val="00232F40"/>
    <w:pPr>
      <w:spacing w:line="240" w:lineRule="auto"/>
    </w:pPr>
    <w:rPr>
      <w:sz w:val="20"/>
      <w:szCs w:val="20"/>
    </w:rPr>
  </w:style>
  <w:style w:type="character" w:customStyle="1" w:styleId="CommentTextChar">
    <w:name w:val="Comment Text Char"/>
    <w:basedOn w:val="DefaultParagraphFont"/>
    <w:link w:val="CommentText"/>
    <w:uiPriority w:val="99"/>
    <w:semiHidden/>
    <w:rsid w:val="00232F40"/>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unhideWhenUsed/>
    <w:rsid w:val="00232F40"/>
    <w:rPr>
      <w:b/>
      <w:bCs/>
    </w:rPr>
  </w:style>
  <w:style w:type="character" w:customStyle="1" w:styleId="CommentSubjectChar">
    <w:name w:val="Comment Subject Char"/>
    <w:basedOn w:val="CommentTextChar"/>
    <w:link w:val="CommentSubject"/>
    <w:uiPriority w:val="99"/>
    <w:semiHidden/>
    <w:rsid w:val="00232F40"/>
    <w:rPr>
      <w:rFonts w:asciiTheme="minorHAnsi" w:hAnsiTheme="minorHAnsi" w:cstheme="minorHAnsi"/>
      <w:b/>
      <w:bCs/>
      <w:sz w:val="20"/>
      <w:szCs w:val="20"/>
    </w:rPr>
  </w:style>
  <w:style w:type="paragraph" w:styleId="Header">
    <w:name w:val="header"/>
    <w:basedOn w:val="Normal"/>
    <w:link w:val="HeaderChar"/>
    <w:uiPriority w:val="99"/>
    <w:unhideWhenUsed/>
    <w:rsid w:val="00217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3D1"/>
    <w:rPr>
      <w:rFonts w:asciiTheme="minorHAnsi" w:hAnsiTheme="minorHAnsi" w:cstheme="minorHAnsi"/>
      <w:sz w:val="22"/>
    </w:rPr>
  </w:style>
  <w:style w:type="paragraph" w:styleId="Footer">
    <w:name w:val="footer"/>
    <w:basedOn w:val="Normal"/>
    <w:link w:val="FooterChar"/>
    <w:uiPriority w:val="99"/>
    <w:unhideWhenUsed/>
    <w:rsid w:val="00217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3D1"/>
    <w:rPr>
      <w:rFonts w:asciiTheme="minorHAnsi" w:hAnsiTheme="minorHAnsi" w:cstheme="minorHAnsi"/>
      <w:sz w:val="22"/>
    </w:rPr>
  </w:style>
  <w:style w:type="paragraph" w:styleId="FootnoteText">
    <w:name w:val="footnote text"/>
    <w:basedOn w:val="Normal"/>
    <w:link w:val="FootnoteTextChar"/>
    <w:uiPriority w:val="99"/>
    <w:semiHidden/>
    <w:unhideWhenUsed/>
    <w:rsid w:val="006401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10D"/>
    <w:rPr>
      <w:rFonts w:asciiTheme="minorHAnsi" w:hAnsiTheme="minorHAnsi" w:cstheme="minorHAnsi"/>
      <w:sz w:val="20"/>
      <w:szCs w:val="20"/>
    </w:rPr>
  </w:style>
  <w:style w:type="character" w:styleId="FootnoteReference">
    <w:name w:val="footnote reference"/>
    <w:basedOn w:val="DefaultParagraphFont"/>
    <w:uiPriority w:val="99"/>
    <w:semiHidden/>
    <w:unhideWhenUsed/>
    <w:rsid w:val="0064010D"/>
    <w:rPr>
      <w:vertAlign w:val="superscript"/>
    </w:rPr>
  </w:style>
  <w:style w:type="paragraph" w:styleId="Caption">
    <w:name w:val="caption"/>
    <w:basedOn w:val="Normal"/>
    <w:next w:val="Normal"/>
    <w:uiPriority w:val="35"/>
    <w:unhideWhenUsed/>
    <w:qFormat/>
    <w:rsid w:val="00427B91"/>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96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94553-F86B-4347-B16F-9350A590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2561</Words>
  <Characters>14599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2019-04-09T08:43:00Z</dcterms:created>
  <dcterms:modified xsi:type="dcterms:W3CDTF">2019-04-09T08:53:00Z</dcterms:modified>
</cp:coreProperties>
</file>